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2FCC51">
      <w:pPr>
        <w:spacing w:line="520" w:lineRule="exact"/>
        <w:rPr>
          <w:rFonts w:ascii="宋体" w:hAnsi="宋体"/>
          <w:color w:val="auto"/>
          <w:sz w:val="32"/>
          <w:szCs w:val="32"/>
          <w:highlight w:val="none"/>
        </w:rPr>
      </w:pPr>
    </w:p>
    <w:p w14:paraId="298853C4">
      <w:pPr>
        <w:spacing w:line="520" w:lineRule="exact"/>
        <w:rPr>
          <w:rFonts w:ascii="宋体" w:hAnsi="宋体"/>
          <w:color w:val="auto"/>
          <w:sz w:val="32"/>
          <w:szCs w:val="32"/>
          <w:highlight w:val="none"/>
        </w:rPr>
      </w:pPr>
    </w:p>
    <w:p w14:paraId="6F6F3490">
      <w:pPr>
        <w:spacing w:line="520" w:lineRule="exact"/>
        <w:rPr>
          <w:rFonts w:ascii="宋体" w:hAnsi="宋体"/>
          <w:color w:val="auto"/>
          <w:sz w:val="32"/>
          <w:szCs w:val="32"/>
          <w:highlight w:val="none"/>
        </w:rPr>
      </w:pPr>
    </w:p>
    <w:p w14:paraId="426DB69A">
      <w:pPr>
        <w:spacing w:line="520" w:lineRule="exact"/>
        <w:rPr>
          <w:rFonts w:ascii="宋体" w:hAnsi="宋体"/>
          <w:color w:val="auto"/>
          <w:sz w:val="32"/>
          <w:szCs w:val="32"/>
          <w:highlight w:val="none"/>
        </w:rPr>
      </w:pPr>
    </w:p>
    <w:p w14:paraId="168A304D">
      <w:pPr>
        <w:adjustRightInd w:val="0"/>
        <w:snapToGrid w:val="0"/>
        <w:jc w:val="center"/>
        <w:rPr>
          <w:rFonts w:ascii="宋体" w:hAnsi="宋体"/>
          <w:b/>
          <w:color w:val="auto"/>
          <w:sz w:val="84"/>
          <w:szCs w:val="84"/>
          <w:highlight w:val="none"/>
        </w:rPr>
      </w:pPr>
      <w:r>
        <w:rPr>
          <w:rFonts w:hint="eastAsia" w:ascii="宋体" w:hAnsi="宋体"/>
          <w:b/>
          <w:color w:val="auto"/>
          <w:sz w:val="84"/>
          <w:szCs w:val="84"/>
          <w:highlight w:val="none"/>
        </w:rPr>
        <w:t>竞争性磋商文件</w:t>
      </w:r>
    </w:p>
    <w:p w14:paraId="2BE3974F">
      <w:pPr>
        <w:adjustRightInd w:val="0"/>
        <w:snapToGrid w:val="0"/>
        <w:spacing w:before="156" w:beforeLines="50" w:line="520" w:lineRule="exact"/>
        <w:ind w:left="846" w:leftChars="403" w:firstLine="157" w:firstLineChars="49"/>
        <w:rPr>
          <w:rFonts w:ascii="宋体" w:hAnsi="宋体"/>
          <w:b/>
          <w:color w:val="auto"/>
          <w:sz w:val="32"/>
          <w:szCs w:val="32"/>
          <w:highlight w:val="none"/>
        </w:rPr>
      </w:pPr>
    </w:p>
    <w:p w14:paraId="508244ED">
      <w:pPr>
        <w:pStyle w:val="2"/>
        <w:rPr>
          <w:rFonts w:ascii="宋体" w:hAnsi="宋体"/>
          <w:b/>
          <w:color w:val="auto"/>
          <w:sz w:val="32"/>
          <w:szCs w:val="32"/>
          <w:highlight w:val="none"/>
        </w:rPr>
      </w:pPr>
    </w:p>
    <w:p w14:paraId="343F9C3B">
      <w:pPr>
        <w:rPr>
          <w:rFonts w:ascii="宋体" w:hAnsi="宋体"/>
          <w:b/>
          <w:color w:val="auto"/>
          <w:sz w:val="32"/>
          <w:szCs w:val="32"/>
          <w:highlight w:val="none"/>
        </w:rPr>
      </w:pPr>
    </w:p>
    <w:p w14:paraId="67C36A25">
      <w:pPr>
        <w:pStyle w:val="2"/>
        <w:rPr>
          <w:color w:val="auto"/>
          <w:highlight w:val="none"/>
        </w:rPr>
      </w:pPr>
    </w:p>
    <w:p w14:paraId="2EF44C47">
      <w:pPr>
        <w:adjustRightInd w:val="0"/>
        <w:snapToGrid w:val="0"/>
        <w:spacing w:line="520" w:lineRule="exact"/>
        <w:ind w:firstLine="1001" w:firstLineChars="313"/>
        <w:rPr>
          <w:rFonts w:ascii="宋体" w:hAnsi="宋体"/>
          <w:color w:val="auto"/>
          <w:sz w:val="32"/>
          <w:szCs w:val="32"/>
          <w:highlight w:val="none"/>
        </w:rPr>
      </w:pPr>
    </w:p>
    <w:p w14:paraId="3A763E3E">
      <w:pPr>
        <w:adjustRightInd w:val="0"/>
        <w:snapToGrid w:val="0"/>
        <w:spacing w:line="520" w:lineRule="exact"/>
        <w:ind w:firstLine="640" w:firstLineChars="200"/>
        <w:rPr>
          <w:rFonts w:hint="eastAsia" w:ascii="宋体" w:hAnsi="宋体" w:cs="Times New Roman"/>
          <w:color w:val="auto"/>
          <w:sz w:val="32"/>
          <w:szCs w:val="32"/>
          <w:highlight w:val="none"/>
          <w:u w:val="single"/>
          <w:lang w:eastAsia="zh-CN"/>
        </w:rPr>
      </w:pPr>
      <w:r>
        <w:rPr>
          <w:rFonts w:hint="eastAsia" w:ascii="宋体" w:hAnsi="宋体" w:eastAsia="宋体" w:cs="Times New Roman"/>
          <w:color w:val="auto"/>
          <w:sz w:val="32"/>
          <w:szCs w:val="32"/>
          <w:highlight w:val="none"/>
        </w:rPr>
        <w:t>采购项目名称：</w:t>
      </w:r>
      <w:r>
        <w:rPr>
          <w:rFonts w:hint="eastAsia" w:ascii="宋体" w:hAnsi="宋体" w:cs="Times New Roman"/>
          <w:color w:val="auto"/>
          <w:sz w:val="32"/>
          <w:szCs w:val="32"/>
          <w:highlight w:val="none"/>
          <w:u w:val="single"/>
          <w:lang w:eastAsia="zh-CN"/>
        </w:rPr>
        <w:t>芙蓉生态新城六号安置小区东地块（一期）</w:t>
      </w:r>
    </w:p>
    <w:p w14:paraId="3832A7F0">
      <w:pPr>
        <w:adjustRightInd w:val="0"/>
        <w:snapToGrid w:val="0"/>
        <w:spacing w:line="520" w:lineRule="exact"/>
        <w:ind w:firstLine="2880" w:firstLineChars="900"/>
        <w:rPr>
          <w:rFonts w:hint="eastAsia" w:ascii="宋体" w:hAnsi="宋体"/>
          <w:color w:val="auto"/>
          <w:sz w:val="32"/>
          <w:szCs w:val="32"/>
          <w:highlight w:val="none"/>
          <w:lang w:val="en-US" w:eastAsia="zh-CN"/>
        </w:rPr>
      </w:pPr>
      <w:r>
        <w:rPr>
          <w:rFonts w:hint="eastAsia" w:ascii="宋体" w:hAnsi="宋体" w:cs="Times New Roman"/>
          <w:color w:val="auto"/>
          <w:sz w:val="32"/>
          <w:szCs w:val="32"/>
          <w:highlight w:val="none"/>
          <w:u w:val="single"/>
          <w:lang w:eastAsia="zh-CN"/>
        </w:rPr>
        <w:t>外墙防水</w:t>
      </w:r>
      <w:r>
        <w:rPr>
          <w:rFonts w:hint="eastAsia" w:ascii="宋体" w:hAnsi="宋体" w:cs="Times New Roman"/>
          <w:color w:val="auto"/>
          <w:sz w:val="32"/>
          <w:szCs w:val="32"/>
          <w:highlight w:val="none"/>
          <w:u w:val="single"/>
          <w:lang w:val="en-US" w:eastAsia="zh-CN"/>
        </w:rPr>
        <w:t>工程</w:t>
      </w:r>
      <w:r>
        <w:rPr>
          <w:rFonts w:hint="eastAsia" w:ascii="宋体" w:hAnsi="宋体"/>
          <w:color w:val="auto"/>
          <w:sz w:val="32"/>
          <w:szCs w:val="32"/>
          <w:highlight w:val="none"/>
          <w:lang w:val="en-US" w:eastAsia="zh-CN"/>
        </w:rPr>
        <w:t xml:space="preserve">    </w:t>
      </w:r>
    </w:p>
    <w:p w14:paraId="1F3A4582">
      <w:pPr>
        <w:adjustRightInd w:val="0"/>
        <w:snapToGrid w:val="0"/>
        <w:spacing w:line="520" w:lineRule="exact"/>
        <w:ind w:firstLine="640" w:firstLineChars="200"/>
        <w:rPr>
          <w:rFonts w:hint="eastAsia" w:ascii="宋体" w:hAnsi="宋体"/>
          <w:color w:val="auto"/>
          <w:sz w:val="32"/>
          <w:szCs w:val="32"/>
          <w:highlight w:val="none"/>
          <w:u w:val="single"/>
          <w:lang w:eastAsia="zh-CN"/>
        </w:rPr>
      </w:pPr>
      <w:r>
        <w:rPr>
          <w:rFonts w:hint="eastAsia" w:ascii="宋体" w:hAnsi="宋体"/>
          <w:color w:val="auto"/>
          <w:sz w:val="32"/>
          <w:szCs w:val="32"/>
          <w:highlight w:val="none"/>
        </w:rPr>
        <w:t>采</w:t>
      </w:r>
      <w:r>
        <w:rPr>
          <w:rFonts w:ascii="宋体" w:hAnsi="宋体"/>
          <w:color w:val="auto"/>
          <w:sz w:val="32"/>
          <w:szCs w:val="32"/>
          <w:highlight w:val="none"/>
        </w:rPr>
        <w:t xml:space="preserve">   </w:t>
      </w:r>
      <w:r>
        <w:rPr>
          <w:rFonts w:hint="eastAsia" w:ascii="宋体" w:hAnsi="宋体"/>
          <w:color w:val="auto"/>
          <w:sz w:val="32"/>
          <w:szCs w:val="32"/>
          <w:highlight w:val="none"/>
        </w:rPr>
        <w:t>购</w:t>
      </w:r>
      <w:r>
        <w:rPr>
          <w:rFonts w:ascii="宋体" w:hAnsi="宋体"/>
          <w:color w:val="auto"/>
          <w:sz w:val="32"/>
          <w:szCs w:val="32"/>
          <w:highlight w:val="none"/>
        </w:rPr>
        <w:t xml:space="preserve">   </w:t>
      </w:r>
      <w:r>
        <w:rPr>
          <w:rFonts w:hint="eastAsia" w:ascii="宋体" w:hAnsi="宋体"/>
          <w:color w:val="auto"/>
          <w:sz w:val="32"/>
          <w:szCs w:val="32"/>
          <w:highlight w:val="none"/>
        </w:rPr>
        <w:t>人：</w:t>
      </w:r>
      <w:r>
        <w:rPr>
          <w:rFonts w:hint="eastAsia" w:ascii="宋体" w:hAnsi="宋体"/>
          <w:color w:val="auto"/>
          <w:sz w:val="32"/>
          <w:szCs w:val="32"/>
          <w:highlight w:val="none"/>
          <w:u w:val="single"/>
          <w:lang w:eastAsia="zh-CN"/>
        </w:rPr>
        <w:t>长沙芙蓉新城置业有限公司</w:t>
      </w:r>
    </w:p>
    <w:p w14:paraId="2D70C535">
      <w:pPr>
        <w:adjustRightInd w:val="0"/>
        <w:snapToGrid w:val="0"/>
        <w:spacing w:line="520" w:lineRule="exact"/>
        <w:ind w:firstLine="640" w:firstLineChars="200"/>
        <w:rPr>
          <w:rFonts w:hint="default" w:ascii="宋体" w:hAnsi="宋体" w:eastAsia="宋体" w:cs="Times New Roman"/>
          <w:color w:val="auto"/>
          <w:kern w:val="2"/>
          <w:sz w:val="32"/>
          <w:szCs w:val="32"/>
          <w:highlight w:val="none"/>
          <w:lang w:val="en-US" w:eastAsia="zh-CN" w:bidi="ar-SA"/>
        </w:rPr>
      </w:pPr>
      <w:r>
        <w:rPr>
          <w:rFonts w:hint="eastAsia" w:ascii="宋体" w:hAnsi="宋体" w:cs="Times New Roman"/>
          <w:color w:val="auto"/>
          <w:kern w:val="2"/>
          <w:sz w:val="32"/>
          <w:szCs w:val="32"/>
          <w:highlight w:val="none"/>
          <w:lang w:val="en-US" w:eastAsia="zh-CN" w:bidi="ar-SA"/>
        </w:rPr>
        <w:t>采  购 编 号：FRCG-F202608170011</w:t>
      </w:r>
    </w:p>
    <w:p w14:paraId="592AE362">
      <w:pPr>
        <w:adjustRightInd w:val="0"/>
        <w:snapToGrid w:val="0"/>
        <w:spacing w:line="520" w:lineRule="exact"/>
        <w:ind w:firstLine="640"/>
        <w:rPr>
          <w:rFonts w:hint="default" w:ascii="宋体" w:hAnsi="宋体" w:eastAsia="宋体"/>
          <w:color w:val="auto"/>
          <w:sz w:val="32"/>
          <w:szCs w:val="32"/>
          <w:highlight w:val="none"/>
          <w:lang w:val="en-US" w:eastAsia="zh-CN"/>
        </w:rPr>
      </w:pPr>
      <w:r>
        <w:rPr>
          <w:rFonts w:hint="eastAsia" w:ascii="宋体" w:hAnsi="宋体"/>
          <w:color w:val="auto"/>
          <w:sz w:val="32"/>
          <w:szCs w:val="32"/>
          <w:highlight w:val="none"/>
          <w:lang w:val="en-US" w:eastAsia="zh-CN"/>
        </w:rPr>
        <w:t xml:space="preserve">委托代理编号 </w:t>
      </w:r>
      <w:r>
        <w:rPr>
          <w:rFonts w:hint="eastAsia" w:ascii="宋体" w:hAnsi="宋体"/>
          <w:color w:val="auto"/>
          <w:sz w:val="32"/>
          <w:szCs w:val="32"/>
          <w:highlight w:val="none"/>
        </w:rPr>
        <w:t>：</w:t>
      </w:r>
      <w:r>
        <w:rPr>
          <w:rFonts w:hint="eastAsia" w:ascii="宋体" w:hAnsi="宋体"/>
          <w:color w:val="auto"/>
          <w:sz w:val="32"/>
          <w:szCs w:val="32"/>
          <w:highlight w:val="none"/>
          <w:u w:val="single"/>
          <w:lang w:val="en-US" w:eastAsia="zh-CN"/>
        </w:rPr>
        <w:t>HNJR2026-CS072</w:t>
      </w:r>
      <w:r>
        <w:rPr>
          <w:rFonts w:hint="eastAsia" w:ascii="宋体" w:hAnsi="宋体"/>
          <w:color w:val="auto"/>
          <w:sz w:val="32"/>
          <w:szCs w:val="32"/>
          <w:highlight w:val="none"/>
          <w:lang w:val="en-US" w:eastAsia="zh-CN"/>
        </w:rPr>
        <w:t xml:space="preserve">    </w:t>
      </w:r>
    </w:p>
    <w:p w14:paraId="64665A32">
      <w:pPr>
        <w:adjustRightInd w:val="0"/>
        <w:snapToGrid w:val="0"/>
        <w:spacing w:line="520" w:lineRule="exact"/>
        <w:rPr>
          <w:rFonts w:hint="eastAsia" w:ascii="宋体" w:hAnsi="宋体" w:eastAsia="宋体"/>
          <w:color w:val="auto"/>
          <w:sz w:val="32"/>
          <w:szCs w:val="32"/>
          <w:highlight w:val="none"/>
          <w:u w:val="single"/>
          <w:lang w:eastAsia="zh-CN"/>
        </w:rPr>
      </w:pPr>
      <w:r>
        <w:rPr>
          <w:rFonts w:hint="eastAsia" w:ascii="宋体" w:hAnsi="宋体"/>
          <w:color w:val="auto"/>
          <w:sz w:val="32"/>
          <w:szCs w:val="32"/>
          <w:highlight w:val="none"/>
          <w:lang w:val="en-US" w:eastAsia="zh-CN"/>
        </w:rPr>
        <w:t xml:space="preserve">    </w:t>
      </w:r>
      <w:r>
        <w:rPr>
          <w:rFonts w:hint="eastAsia" w:ascii="宋体" w:hAnsi="宋体"/>
          <w:color w:val="auto"/>
          <w:sz w:val="32"/>
          <w:szCs w:val="32"/>
          <w:highlight w:val="none"/>
        </w:rPr>
        <w:t>采购代理机构</w:t>
      </w:r>
      <w:r>
        <w:rPr>
          <w:rFonts w:hint="eastAsia" w:ascii="宋体" w:hAnsi="宋体"/>
          <w:color w:val="auto"/>
          <w:sz w:val="32"/>
          <w:szCs w:val="32"/>
          <w:highlight w:val="none"/>
          <w:lang w:eastAsia="zh-CN"/>
        </w:rPr>
        <w:t>：</w:t>
      </w:r>
      <w:r>
        <w:rPr>
          <w:rFonts w:hint="eastAsia" w:ascii="宋体" w:hAnsi="宋体"/>
          <w:color w:val="auto"/>
          <w:sz w:val="32"/>
          <w:szCs w:val="32"/>
          <w:highlight w:val="none"/>
          <w:u w:val="single"/>
          <w:lang w:eastAsia="zh-CN"/>
        </w:rPr>
        <w:t>湖南金瑞项目管理有限公司</w:t>
      </w:r>
    </w:p>
    <w:p w14:paraId="7F95C26B">
      <w:pPr>
        <w:adjustRightInd w:val="0"/>
        <w:snapToGrid w:val="0"/>
        <w:spacing w:before="156" w:beforeLines="50" w:line="520" w:lineRule="exact"/>
        <w:ind w:firstLine="948" w:firstLineChars="295"/>
        <w:rPr>
          <w:rFonts w:ascii="宋体" w:hAnsi="宋体"/>
          <w:b/>
          <w:color w:val="auto"/>
          <w:sz w:val="32"/>
          <w:szCs w:val="32"/>
          <w:highlight w:val="none"/>
        </w:rPr>
      </w:pPr>
    </w:p>
    <w:p w14:paraId="408137F6">
      <w:pPr>
        <w:adjustRightInd w:val="0"/>
        <w:snapToGrid w:val="0"/>
        <w:spacing w:before="156" w:beforeLines="50" w:line="520" w:lineRule="exact"/>
        <w:ind w:firstLine="948" w:firstLineChars="295"/>
        <w:rPr>
          <w:rFonts w:ascii="宋体" w:hAnsi="宋体"/>
          <w:b/>
          <w:color w:val="auto"/>
          <w:sz w:val="32"/>
          <w:szCs w:val="32"/>
          <w:highlight w:val="none"/>
        </w:rPr>
      </w:pPr>
    </w:p>
    <w:p w14:paraId="0ED41CCA">
      <w:pPr>
        <w:adjustRightInd w:val="0"/>
        <w:snapToGrid w:val="0"/>
        <w:spacing w:line="520" w:lineRule="exact"/>
        <w:jc w:val="center"/>
        <w:rPr>
          <w:rFonts w:ascii="宋体" w:hAnsi="宋体"/>
          <w:b/>
          <w:color w:val="auto"/>
          <w:sz w:val="32"/>
          <w:highlight w:val="none"/>
        </w:rPr>
      </w:pPr>
    </w:p>
    <w:p w14:paraId="1CE41A93">
      <w:pPr>
        <w:adjustRightInd w:val="0"/>
        <w:snapToGrid w:val="0"/>
        <w:spacing w:line="520" w:lineRule="exact"/>
        <w:jc w:val="center"/>
        <w:rPr>
          <w:rFonts w:ascii="宋体" w:hAnsi="宋体"/>
          <w:b/>
          <w:color w:val="auto"/>
          <w:sz w:val="32"/>
          <w:highlight w:val="none"/>
        </w:rPr>
      </w:pPr>
    </w:p>
    <w:p w14:paraId="69EBEFDE">
      <w:pPr>
        <w:adjustRightInd w:val="0"/>
        <w:snapToGrid w:val="0"/>
        <w:spacing w:line="520" w:lineRule="exact"/>
        <w:jc w:val="center"/>
        <w:rPr>
          <w:rFonts w:ascii="宋体" w:hAnsi="宋体"/>
          <w:b/>
          <w:color w:val="auto"/>
          <w:sz w:val="32"/>
          <w:highlight w:val="none"/>
        </w:rPr>
      </w:pPr>
      <w:r>
        <w:rPr>
          <w:rFonts w:ascii="宋体" w:hAnsi="宋体"/>
          <w:b/>
          <w:color w:val="auto"/>
          <w:sz w:val="32"/>
          <w:highlight w:val="none"/>
          <w:u w:val="single"/>
        </w:rPr>
        <w:t>202</w:t>
      </w:r>
      <w:r>
        <w:rPr>
          <w:rFonts w:hint="eastAsia" w:ascii="宋体" w:hAnsi="宋体"/>
          <w:b/>
          <w:color w:val="auto"/>
          <w:sz w:val="32"/>
          <w:highlight w:val="none"/>
          <w:u w:val="single"/>
          <w:lang w:val="en-US" w:eastAsia="zh-CN"/>
        </w:rPr>
        <w:t>6</w:t>
      </w:r>
      <w:r>
        <w:rPr>
          <w:rFonts w:hint="eastAsia" w:ascii="宋体" w:hAnsi="宋体"/>
          <w:b/>
          <w:color w:val="auto"/>
          <w:sz w:val="32"/>
          <w:highlight w:val="none"/>
        </w:rPr>
        <w:t>年</w:t>
      </w:r>
      <w:r>
        <w:rPr>
          <w:rFonts w:hint="eastAsia" w:ascii="宋体" w:hAnsi="宋体"/>
          <w:b/>
          <w:color w:val="auto"/>
          <w:sz w:val="32"/>
          <w:highlight w:val="none"/>
          <w:u w:val="single"/>
          <w:lang w:val="en-US" w:eastAsia="zh-CN"/>
        </w:rPr>
        <w:t>8</w:t>
      </w:r>
      <w:r>
        <w:rPr>
          <w:rFonts w:hint="eastAsia" w:ascii="宋体" w:hAnsi="宋体"/>
          <w:b/>
          <w:color w:val="auto"/>
          <w:sz w:val="32"/>
          <w:highlight w:val="none"/>
        </w:rPr>
        <w:t>月</w:t>
      </w:r>
    </w:p>
    <w:p w14:paraId="6A19C337">
      <w:pPr>
        <w:adjustRightInd w:val="0"/>
        <w:snapToGrid w:val="0"/>
        <w:spacing w:line="520" w:lineRule="exact"/>
        <w:jc w:val="center"/>
        <w:rPr>
          <w:rFonts w:ascii="宋体" w:hAnsi="宋体"/>
          <w:color w:val="auto"/>
          <w:spacing w:val="160"/>
          <w:sz w:val="36"/>
          <w:szCs w:val="36"/>
          <w:highlight w:val="none"/>
        </w:rPr>
      </w:pPr>
    </w:p>
    <w:p w14:paraId="40FB9A5B">
      <w:pPr>
        <w:adjustRightInd w:val="0"/>
        <w:snapToGrid w:val="0"/>
        <w:spacing w:line="520" w:lineRule="exact"/>
        <w:jc w:val="center"/>
        <w:rPr>
          <w:rFonts w:ascii="宋体" w:hAnsi="宋体"/>
          <w:color w:val="auto"/>
          <w:spacing w:val="160"/>
          <w:sz w:val="36"/>
          <w:szCs w:val="36"/>
          <w:highlight w:val="none"/>
        </w:rPr>
      </w:pPr>
    </w:p>
    <w:p w14:paraId="4DCEC55F">
      <w:pPr>
        <w:adjustRightInd w:val="0"/>
        <w:snapToGrid w:val="0"/>
        <w:spacing w:line="520" w:lineRule="exact"/>
        <w:jc w:val="center"/>
        <w:rPr>
          <w:rFonts w:ascii="宋体" w:hAnsi="宋体"/>
          <w:color w:val="auto"/>
          <w:spacing w:val="160"/>
          <w:sz w:val="36"/>
          <w:szCs w:val="36"/>
          <w:highlight w:val="none"/>
        </w:rPr>
      </w:pPr>
    </w:p>
    <w:p w14:paraId="7254FAE2">
      <w:pPr>
        <w:adjustRightInd w:val="0"/>
        <w:snapToGrid w:val="0"/>
        <w:spacing w:line="520" w:lineRule="exact"/>
        <w:jc w:val="center"/>
        <w:rPr>
          <w:rFonts w:ascii="宋体" w:hAnsi="宋体"/>
          <w:color w:val="auto"/>
          <w:spacing w:val="160"/>
          <w:sz w:val="36"/>
          <w:szCs w:val="36"/>
          <w:highlight w:val="none"/>
        </w:rPr>
        <w:sectPr>
          <w:footerReference r:id="rId3" w:type="default"/>
          <w:pgSz w:w="11906" w:h="16838"/>
          <w:pgMar w:top="1440" w:right="1531" w:bottom="1440" w:left="1531" w:header="851" w:footer="992" w:gutter="0"/>
          <w:pgNumType w:start="0"/>
          <w:cols w:space="720" w:num="1"/>
          <w:titlePg/>
          <w:docGrid w:type="lines" w:linePitch="312" w:charSpace="0"/>
        </w:sectPr>
      </w:pPr>
    </w:p>
    <w:p w14:paraId="2DF7BBAF">
      <w:pPr>
        <w:adjustRightInd w:val="0"/>
        <w:snapToGrid w:val="0"/>
        <w:spacing w:line="520" w:lineRule="exact"/>
        <w:jc w:val="center"/>
        <w:rPr>
          <w:rFonts w:hint="eastAsia" w:ascii="宋体" w:hAnsi="宋体"/>
          <w:b/>
          <w:bCs/>
          <w:color w:val="auto"/>
          <w:spacing w:val="160"/>
          <w:sz w:val="36"/>
          <w:szCs w:val="36"/>
          <w:highlight w:val="none"/>
        </w:rPr>
      </w:pPr>
      <w:r>
        <w:rPr>
          <w:rFonts w:hint="eastAsia" w:ascii="宋体" w:hAnsi="宋体"/>
          <w:b/>
          <w:bCs/>
          <w:color w:val="auto"/>
          <w:spacing w:val="160"/>
          <w:sz w:val="36"/>
          <w:szCs w:val="36"/>
          <w:highlight w:val="none"/>
        </w:rPr>
        <w:t>目录</w:t>
      </w:r>
    </w:p>
    <w:p w14:paraId="0C0A3822">
      <w:pPr>
        <w:pStyle w:val="31"/>
        <w:ind w:left="0" w:leftChars="0" w:firstLine="0" w:firstLineChars="0"/>
        <w:rPr>
          <w:rFonts w:hint="eastAsia" w:ascii="宋体" w:hAnsi="宋体"/>
          <w:b/>
          <w:bCs/>
          <w:color w:val="auto"/>
          <w:spacing w:val="160"/>
          <w:sz w:val="36"/>
          <w:szCs w:val="36"/>
          <w:highlight w:val="none"/>
        </w:rPr>
      </w:pPr>
    </w:p>
    <w:p w14:paraId="5E61A17B">
      <w:pPr>
        <w:adjustRightInd w:val="0"/>
        <w:snapToGrid w:val="0"/>
        <w:spacing w:line="520" w:lineRule="exact"/>
        <w:rPr>
          <w:rFonts w:ascii="宋体" w:hAnsi="宋体"/>
          <w:b/>
          <w:color w:val="auto"/>
          <w:sz w:val="24"/>
          <w:highlight w:val="none"/>
        </w:rPr>
      </w:pPr>
      <w:r>
        <w:rPr>
          <w:rFonts w:hint="eastAsia" w:ascii="宋体" w:hAnsi="宋体"/>
          <w:b/>
          <w:color w:val="auto"/>
          <w:sz w:val="24"/>
          <w:highlight w:val="none"/>
        </w:rPr>
        <w:t>第一章</w:t>
      </w:r>
      <w:r>
        <w:rPr>
          <w:rFonts w:ascii="宋体" w:hAnsi="宋体"/>
          <w:b/>
          <w:color w:val="auto"/>
          <w:sz w:val="24"/>
          <w:highlight w:val="none"/>
        </w:rPr>
        <w:t xml:space="preserve">  </w:t>
      </w:r>
      <w:r>
        <w:rPr>
          <w:rFonts w:hint="eastAsia" w:ascii="宋体" w:hAnsi="宋体"/>
          <w:b/>
          <w:color w:val="auto"/>
          <w:sz w:val="24"/>
          <w:highlight w:val="none"/>
        </w:rPr>
        <w:t>磋商邀请</w:t>
      </w:r>
    </w:p>
    <w:p w14:paraId="55CD596C">
      <w:pPr>
        <w:adjustRightInd w:val="0"/>
        <w:snapToGrid w:val="0"/>
        <w:spacing w:line="520" w:lineRule="exact"/>
        <w:rPr>
          <w:rFonts w:ascii="宋体" w:hAnsi="宋体"/>
          <w:b/>
          <w:color w:val="auto"/>
          <w:sz w:val="24"/>
          <w:highlight w:val="none"/>
        </w:rPr>
      </w:pPr>
      <w:r>
        <w:rPr>
          <w:rFonts w:hint="eastAsia" w:ascii="宋体" w:hAnsi="宋体"/>
          <w:b/>
          <w:color w:val="auto"/>
          <w:sz w:val="24"/>
          <w:highlight w:val="none"/>
        </w:rPr>
        <w:t>第二章</w:t>
      </w:r>
      <w:r>
        <w:rPr>
          <w:rFonts w:ascii="宋体" w:hAnsi="宋体"/>
          <w:b/>
          <w:color w:val="auto"/>
          <w:sz w:val="24"/>
          <w:highlight w:val="none"/>
        </w:rPr>
        <w:t xml:space="preserve">  </w:t>
      </w:r>
      <w:r>
        <w:rPr>
          <w:rFonts w:hint="eastAsia" w:ascii="宋体" w:hAnsi="宋体"/>
          <w:b/>
          <w:color w:val="auto"/>
          <w:sz w:val="24"/>
          <w:highlight w:val="none"/>
        </w:rPr>
        <w:t>磋商须知</w:t>
      </w:r>
    </w:p>
    <w:p w14:paraId="013FE213">
      <w:pPr>
        <w:tabs>
          <w:tab w:val="left" w:pos="1440"/>
        </w:tabs>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磋商须知前附表</w:t>
      </w:r>
    </w:p>
    <w:p w14:paraId="7866282B">
      <w:pPr>
        <w:tabs>
          <w:tab w:val="left" w:pos="1440"/>
        </w:tabs>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磋商须知正文</w:t>
      </w:r>
    </w:p>
    <w:p w14:paraId="2E19C8E3">
      <w:pPr>
        <w:tabs>
          <w:tab w:val="left" w:pos="1440"/>
        </w:tabs>
        <w:adjustRightInd w:val="0"/>
        <w:snapToGrid w:val="0"/>
        <w:spacing w:line="520" w:lineRule="exact"/>
        <w:ind w:firstLine="630" w:firstLineChars="300"/>
        <w:rPr>
          <w:rFonts w:ascii="宋体" w:hAnsi="宋体"/>
          <w:color w:val="auto"/>
          <w:szCs w:val="21"/>
          <w:highlight w:val="none"/>
        </w:rPr>
      </w:pPr>
      <w:r>
        <w:rPr>
          <w:rFonts w:hint="eastAsia" w:ascii="宋体" w:hAnsi="宋体"/>
          <w:color w:val="auto"/>
          <w:szCs w:val="21"/>
          <w:highlight w:val="none"/>
        </w:rPr>
        <w:t>一、说明</w:t>
      </w:r>
    </w:p>
    <w:p w14:paraId="2D65866E">
      <w:pPr>
        <w:tabs>
          <w:tab w:val="left" w:pos="1440"/>
        </w:tabs>
        <w:adjustRightInd w:val="0"/>
        <w:snapToGrid w:val="0"/>
        <w:spacing w:line="520" w:lineRule="exact"/>
        <w:ind w:firstLine="630" w:firstLineChars="300"/>
        <w:rPr>
          <w:rFonts w:ascii="宋体" w:hAnsi="宋体"/>
          <w:color w:val="auto"/>
          <w:szCs w:val="21"/>
          <w:highlight w:val="none"/>
        </w:rPr>
      </w:pPr>
      <w:r>
        <w:rPr>
          <w:rFonts w:hint="eastAsia" w:ascii="宋体" w:hAnsi="宋体"/>
          <w:color w:val="auto"/>
          <w:szCs w:val="21"/>
          <w:highlight w:val="none"/>
        </w:rPr>
        <w:t>二、</w:t>
      </w:r>
      <w:r>
        <w:rPr>
          <w:rFonts w:hint="eastAsia" w:ascii="宋体" w:hAnsi="宋体"/>
          <w:bCs/>
          <w:color w:val="auto"/>
          <w:szCs w:val="21"/>
          <w:highlight w:val="none"/>
        </w:rPr>
        <w:t>磋商</w:t>
      </w:r>
      <w:r>
        <w:rPr>
          <w:rFonts w:hint="eastAsia" w:ascii="宋体" w:hAnsi="宋体"/>
          <w:color w:val="auto"/>
          <w:szCs w:val="21"/>
          <w:highlight w:val="none"/>
        </w:rPr>
        <w:t>文件</w:t>
      </w:r>
    </w:p>
    <w:p w14:paraId="4F83B071">
      <w:pPr>
        <w:adjustRightInd w:val="0"/>
        <w:snapToGrid w:val="0"/>
        <w:spacing w:line="520" w:lineRule="exact"/>
        <w:ind w:firstLine="630" w:firstLineChars="300"/>
        <w:rPr>
          <w:rFonts w:ascii="宋体" w:hAnsi="宋体"/>
          <w:color w:val="auto"/>
          <w:szCs w:val="21"/>
          <w:highlight w:val="none"/>
        </w:rPr>
      </w:pPr>
      <w:r>
        <w:rPr>
          <w:rFonts w:hint="eastAsia" w:ascii="宋体" w:hAnsi="宋体"/>
          <w:color w:val="auto"/>
          <w:szCs w:val="21"/>
          <w:highlight w:val="none"/>
        </w:rPr>
        <w:t>三、响应文件</w:t>
      </w:r>
    </w:p>
    <w:p w14:paraId="4CC00B49">
      <w:pPr>
        <w:adjustRightInd w:val="0"/>
        <w:snapToGrid w:val="0"/>
        <w:spacing w:line="520" w:lineRule="exact"/>
        <w:ind w:firstLine="630" w:firstLineChars="300"/>
        <w:rPr>
          <w:rFonts w:ascii="宋体" w:hAnsi="宋体"/>
          <w:color w:val="auto"/>
          <w:szCs w:val="21"/>
          <w:highlight w:val="none"/>
        </w:rPr>
      </w:pPr>
      <w:r>
        <w:rPr>
          <w:rFonts w:hint="eastAsia" w:ascii="宋体" w:hAnsi="宋体"/>
          <w:color w:val="auto"/>
          <w:szCs w:val="21"/>
          <w:highlight w:val="none"/>
        </w:rPr>
        <w:t>四、响应文件的递交</w:t>
      </w:r>
    </w:p>
    <w:p w14:paraId="4B580409">
      <w:pPr>
        <w:adjustRightInd w:val="0"/>
        <w:snapToGrid w:val="0"/>
        <w:spacing w:line="520" w:lineRule="exact"/>
        <w:ind w:firstLine="630" w:firstLineChars="300"/>
        <w:rPr>
          <w:rFonts w:ascii="宋体" w:hAnsi="宋体"/>
          <w:bCs/>
          <w:color w:val="auto"/>
          <w:szCs w:val="21"/>
          <w:highlight w:val="none"/>
        </w:rPr>
      </w:pPr>
      <w:r>
        <w:rPr>
          <w:rFonts w:hint="eastAsia" w:ascii="宋体" w:hAnsi="宋体"/>
          <w:bCs/>
          <w:color w:val="auto"/>
          <w:szCs w:val="21"/>
          <w:highlight w:val="none"/>
        </w:rPr>
        <w:t>五、</w:t>
      </w:r>
      <w:r>
        <w:rPr>
          <w:rFonts w:hint="eastAsia" w:ascii="宋体" w:hAnsi="宋体"/>
          <w:color w:val="auto"/>
          <w:szCs w:val="21"/>
          <w:highlight w:val="none"/>
        </w:rPr>
        <w:t>响应文件</w:t>
      </w:r>
      <w:r>
        <w:rPr>
          <w:rFonts w:hint="eastAsia" w:ascii="宋体" w:hAnsi="宋体"/>
          <w:bCs/>
          <w:color w:val="auto"/>
          <w:szCs w:val="21"/>
          <w:highlight w:val="none"/>
        </w:rPr>
        <w:t>的</w:t>
      </w:r>
      <w:r>
        <w:rPr>
          <w:rFonts w:hint="eastAsia" w:ascii="宋体" w:hAnsi="宋体"/>
          <w:color w:val="auto"/>
          <w:szCs w:val="21"/>
          <w:highlight w:val="none"/>
        </w:rPr>
        <w:t>磋商与评审</w:t>
      </w:r>
    </w:p>
    <w:p w14:paraId="1F47E678">
      <w:pPr>
        <w:adjustRightInd w:val="0"/>
        <w:snapToGrid w:val="0"/>
        <w:spacing w:line="520" w:lineRule="exact"/>
        <w:ind w:firstLine="630" w:firstLineChars="300"/>
        <w:rPr>
          <w:rFonts w:ascii="宋体" w:hAnsi="宋体"/>
          <w:color w:val="auto"/>
          <w:szCs w:val="21"/>
          <w:highlight w:val="none"/>
        </w:rPr>
      </w:pPr>
      <w:r>
        <w:rPr>
          <w:rFonts w:hint="eastAsia" w:ascii="宋体" w:hAnsi="宋体"/>
          <w:color w:val="auto"/>
          <w:szCs w:val="21"/>
          <w:highlight w:val="none"/>
        </w:rPr>
        <w:t>六、成交结果信息公布与授予合同</w:t>
      </w:r>
    </w:p>
    <w:p w14:paraId="531441AA">
      <w:pPr>
        <w:adjustRightInd w:val="0"/>
        <w:snapToGrid w:val="0"/>
        <w:spacing w:line="520" w:lineRule="exact"/>
        <w:ind w:firstLine="630" w:firstLineChars="300"/>
        <w:jc w:val="left"/>
        <w:rPr>
          <w:rFonts w:ascii="宋体" w:hAnsi="宋体"/>
          <w:color w:val="auto"/>
          <w:szCs w:val="21"/>
          <w:highlight w:val="none"/>
        </w:rPr>
      </w:pPr>
      <w:r>
        <w:rPr>
          <w:rFonts w:hint="eastAsia" w:ascii="宋体" w:hAnsi="宋体"/>
          <w:color w:val="auto"/>
          <w:szCs w:val="21"/>
          <w:highlight w:val="none"/>
        </w:rPr>
        <w:t>七、其他规定</w:t>
      </w:r>
    </w:p>
    <w:p w14:paraId="66CF0E40">
      <w:pPr>
        <w:adjustRightInd w:val="0"/>
        <w:snapToGrid w:val="0"/>
        <w:spacing w:line="520" w:lineRule="exact"/>
        <w:rPr>
          <w:rFonts w:ascii="宋体" w:hAnsi="宋体"/>
          <w:b/>
          <w:color w:val="auto"/>
          <w:sz w:val="24"/>
          <w:highlight w:val="none"/>
        </w:rPr>
      </w:pPr>
      <w:r>
        <w:rPr>
          <w:rFonts w:hint="eastAsia" w:ascii="宋体" w:hAnsi="宋体"/>
          <w:b/>
          <w:color w:val="auto"/>
          <w:sz w:val="24"/>
          <w:highlight w:val="none"/>
        </w:rPr>
        <w:t>第三章</w:t>
      </w:r>
      <w:r>
        <w:rPr>
          <w:rFonts w:ascii="宋体" w:hAnsi="宋体"/>
          <w:b/>
          <w:color w:val="auto"/>
          <w:sz w:val="24"/>
          <w:highlight w:val="none"/>
        </w:rPr>
        <w:t xml:space="preserve">  </w:t>
      </w:r>
      <w:r>
        <w:rPr>
          <w:rFonts w:hint="eastAsia" w:ascii="宋体" w:hAnsi="宋体"/>
          <w:b/>
          <w:color w:val="auto"/>
          <w:sz w:val="24"/>
          <w:highlight w:val="none"/>
        </w:rPr>
        <w:t>合同协议</w:t>
      </w:r>
    </w:p>
    <w:p w14:paraId="125A5281">
      <w:pPr>
        <w:adjustRightInd w:val="0"/>
        <w:snapToGrid w:val="0"/>
        <w:spacing w:line="520" w:lineRule="exact"/>
        <w:rPr>
          <w:rFonts w:ascii="宋体" w:hAnsi="宋体"/>
          <w:b/>
          <w:color w:val="auto"/>
          <w:sz w:val="24"/>
          <w:highlight w:val="none"/>
        </w:rPr>
      </w:pPr>
      <w:r>
        <w:rPr>
          <w:rFonts w:hint="eastAsia" w:ascii="宋体" w:hAnsi="宋体"/>
          <w:b/>
          <w:color w:val="auto"/>
          <w:sz w:val="24"/>
          <w:highlight w:val="none"/>
        </w:rPr>
        <w:t>第四章</w:t>
      </w:r>
      <w:r>
        <w:rPr>
          <w:rFonts w:ascii="宋体" w:hAnsi="宋体"/>
          <w:b/>
          <w:color w:val="auto"/>
          <w:sz w:val="24"/>
          <w:highlight w:val="none"/>
        </w:rPr>
        <w:t xml:space="preserve">  </w:t>
      </w:r>
      <w:r>
        <w:rPr>
          <w:rFonts w:hint="eastAsia" w:ascii="宋体" w:hAnsi="宋体"/>
          <w:b/>
          <w:color w:val="auto"/>
          <w:sz w:val="24"/>
          <w:highlight w:val="none"/>
        </w:rPr>
        <w:t>采购需求</w:t>
      </w:r>
    </w:p>
    <w:p w14:paraId="65376F11">
      <w:pPr>
        <w:adjustRightInd w:val="0"/>
        <w:snapToGrid w:val="0"/>
        <w:spacing w:line="520" w:lineRule="exact"/>
        <w:rPr>
          <w:rFonts w:ascii="宋体" w:hAnsi="宋体"/>
          <w:b/>
          <w:color w:val="auto"/>
          <w:sz w:val="24"/>
          <w:highlight w:val="none"/>
        </w:rPr>
      </w:pPr>
      <w:r>
        <w:rPr>
          <w:rFonts w:hint="eastAsia" w:ascii="宋体" w:hAnsi="宋体"/>
          <w:b/>
          <w:color w:val="auto"/>
          <w:sz w:val="24"/>
          <w:highlight w:val="none"/>
        </w:rPr>
        <w:t>第五章</w:t>
      </w:r>
      <w:r>
        <w:rPr>
          <w:rFonts w:ascii="宋体" w:hAnsi="宋体"/>
          <w:b/>
          <w:color w:val="auto"/>
          <w:sz w:val="24"/>
          <w:highlight w:val="none"/>
        </w:rPr>
        <w:t xml:space="preserve">  </w:t>
      </w:r>
      <w:r>
        <w:rPr>
          <w:rFonts w:hint="eastAsia" w:ascii="宋体" w:hAnsi="宋体"/>
          <w:b/>
          <w:color w:val="auto"/>
          <w:sz w:val="24"/>
          <w:highlight w:val="none"/>
        </w:rPr>
        <w:t>响应文件组成</w:t>
      </w:r>
    </w:p>
    <w:p w14:paraId="3408EB64">
      <w:pPr>
        <w:spacing w:line="520" w:lineRule="exact"/>
        <w:rPr>
          <w:rFonts w:ascii="宋体" w:hAnsi="宋体"/>
          <w:b/>
          <w:color w:val="auto"/>
          <w:sz w:val="24"/>
          <w:highlight w:val="none"/>
        </w:rPr>
      </w:pPr>
    </w:p>
    <w:p w14:paraId="114FD158">
      <w:pPr>
        <w:spacing w:line="520" w:lineRule="exact"/>
        <w:rPr>
          <w:rFonts w:ascii="宋体" w:hAnsi="宋体"/>
          <w:b/>
          <w:color w:val="auto"/>
          <w:sz w:val="24"/>
          <w:highlight w:val="none"/>
        </w:rPr>
      </w:pPr>
    </w:p>
    <w:p w14:paraId="7B6B217B">
      <w:pPr>
        <w:spacing w:line="520" w:lineRule="exact"/>
        <w:rPr>
          <w:rFonts w:ascii="宋体" w:hAnsi="宋体"/>
          <w:b/>
          <w:color w:val="auto"/>
          <w:sz w:val="24"/>
          <w:highlight w:val="none"/>
        </w:rPr>
      </w:pPr>
    </w:p>
    <w:p w14:paraId="01EE6740">
      <w:pPr>
        <w:spacing w:line="520" w:lineRule="exact"/>
        <w:rPr>
          <w:rFonts w:ascii="宋体" w:hAnsi="宋体"/>
          <w:b/>
          <w:color w:val="auto"/>
          <w:sz w:val="24"/>
          <w:highlight w:val="none"/>
        </w:rPr>
      </w:pPr>
    </w:p>
    <w:p w14:paraId="73070C02">
      <w:pPr>
        <w:spacing w:line="520" w:lineRule="exact"/>
        <w:rPr>
          <w:rFonts w:ascii="宋体" w:hAnsi="宋体"/>
          <w:b/>
          <w:color w:val="auto"/>
          <w:sz w:val="24"/>
          <w:highlight w:val="none"/>
        </w:rPr>
      </w:pPr>
    </w:p>
    <w:p w14:paraId="5824AD92">
      <w:pPr>
        <w:spacing w:line="520" w:lineRule="exact"/>
        <w:jc w:val="center"/>
        <w:rPr>
          <w:rFonts w:ascii="宋体" w:hAnsi="宋体"/>
          <w:color w:val="auto"/>
          <w:sz w:val="32"/>
          <w:szCs w:val="32"/>
          <w:highlight w:val="none"/>
        </w:rPr>
      </w:pPr>
    </w:p>
    <w:p w14:paraId="7B872DF4">
      <w:pPr>
        <w:spacing w:line="520" w:lineRule="exact"/>
        <w:jc w:val="center"/>
        <w:rPr>
          <w:rFonts w:ascii="宋体" w:hAnsi="宋体"/>
          <w:color w:val="auto"/>
          <w:sz w:val="32"/>
          <w:szCs w:val="32"/>
          <w:highlight w:val="none"/>
        </w:rPr>
      </w:pPr>
    </w:p>
    <w:p w14:paraId="13C38389">
      <w:pPr>
        <w:spacing w:line="520" w:lineRule="exact"/>
        <w:jc w:val="center"/>
        <w:rPr>
          <w:rFonts w:ascii="宋体" w:hAnsi="宋体"/>
          <w:color w:val="auto"/>
          <w:sz w:val="32"/>
          <w:szCs w:val="32"/>
          <w:highlight w:val="none"/>
        </w:rPr>
      </w:pPr>
    </w:p>
    <w:p w14:paraId="1229EE98">
      <w:pPr>
        <w:spacing w:line="520" w:lineRule="exact"/>
        <w:jc w:val="center"/>
        <w:rPr>
          <w:rFonts w:ascii="宋体" w:hAnsi="宋体"/>
          <w:color w:val="auto"/>
          <w:sz w:val="32"/>
          <w:szCs w:val="32"/>
          <w:highlight w:val="none"/>
        </w:rPr>
      </w:pPr>
    </w:p>
    <w:p w14:paraId="5C2FBAE4">
      <w:pPr>
        <w:spacing w:line="520" w:lineRule="exact"/>
        <w:jc w:val="center"/>
        <w:rPr>
          <w:rFonts w:ascii="宋体" w:hAnsi="宋体"/>
          <w:color w:val="auto"/>
          <w:sz w:val="32"/>
          <w:szCs w:val="32"/>
          <w:highlight w:val="none"/>
        </w:rPr>
      </w:pPr>
    </w:p>
    <w:p w14:paraId="33542240">
      <w:pPr>
        <w:spacing w:line="520" w:lineRule="exact"/>
        <w:jc w:val="center"/>
        <w:outlineLvl w:val="0"/>
        <w:rPr>
          <w:rFonts w:ascii="宋体" w:hAnsi="宋体"/>
          <w:b/>
          <w:color w:val="auto"/>
          <w:sz w:val="32"/>
          <w:szCs w:val="32"/>
          <w:highlight w:val="none"/>
        </w:rPr>
      </w:pPr>
      <w:r>
        <w:rPr>
          <w:rFonts w:hint="eastAsia" w:ascii="宋体" w:hAnsi="宋体"/>
          <w:b/>
          <w:color w:val="auto"/>
          <w:sz w:val="32"/>
          <w:szCs w:val="32"/>
          <w:highlight w:val="none"/>
        </w:rPr>
        <w:t>第一章</w:t>
      </w:r>
      <w:r>
        <w:rPr>
          <w:rFonts w:ascii="宋体" w:hAnsi="宋体"/>
          <w:b/>
          <w:color w:val="auto"/>
          <w:sz w:val="32"/>
          <w:szCs w:val="32"/>
          <w:highlight w:val="none"/>
        </w:rPr>
        <w:t xml:space="preserve">  </w:t>
      </w:r>
      <w:r>
        <w:rPr>
          <w:rFonts w:hint="eastAsia" w:ascii="宋体" w:hAnsi="宋体"/>
          <w:b/>
          <w:color w:val="auto"/>
          <w:sz w:val="32"/>
          <w:szCs w:val="32"/>
          <w:highlight w:val="none"/>
        </w:rPr>
        <w:t>磋商邀请</w:t>
      </w:r>
    </w:p>
    <w:p w14:paraId="54A9EDA5">
      <w:pPr>
        <w:autoSpaceDE w:val="0"/>
        <w:autoSpaceDN w:val="0"/>
        <w:adjustRightInd w:val="0"/>
        <w:snapToGrid w:val="0"/>
        <w:spacing w:line="520" w:lineRule="exact"/>
        <w:jc w:val="left"/>
        <w:rPr>
          <w:rFonts w:ascii="宋体" w:hAnsi="宋体" w:cs="宋体"/>
          <w:color w:val="auto"/>
          <w:kern w:val="0"/>
          <w:szCs w:val="21"/>
          <w:highlight w:val="none"/>
        </w:rPr>
      </w:pPr>
    </w:p>
    <w:p w14:paraId="05E401F3">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hAnsi="宋体"/>
          <w:color w:val="auto"/>
          <w:szCs w:val="21"/>
          <w:highlight w:val="none"/>
        </w:rPr>
      </w:pPr>
      <w:r>
        <w:rPr>
          <w:rFonts w:hint="eastAsia" w:ascii="宋体" w:hAnsi="宋体"/>
          <w:b/>
          <w:bCs/>
          <w:color w:val="auto"/>
          <w:szCs w:val="21"/>
          <w:highlight w:val="none"/>
          <w:u w:val="single"/>
          <w:lang w:eastAsia="zh-CN"/>
        </w:rPr>
        <w:t xml:space="preserve">湖南金瑞项目管理有限公司 </w:t>
      </w:r>
      <w:r>
        <w:rPr>
          <w:rFonts w:hint="eastAsia" w:ascii="宋体" w:hAnsi="宋体"/>
          <w:color w:val="auto"/>
          <w:szCs w:val="21"/>
          <w:highlight w:val="none"/>
        </w:rPr>
        <w:t>受</w:t>
      </w:r>
      <w:r>
        <w:rPr>
          <w:rFonts w:hint="eastAsia" w:ascii="宋体" w:hAnsi="宋体"/>
          <w:b/>
          <w:bCs/>
          <w:color w:val="auto"/>
          <w:szCs w:val="21"/>
          <w:highlight w:val="none"/>
          <w:u w:val="single"/>
          <w:lang w:eastAsia="zh-CN"/>
        </w:rPr>
        <w:t>长沙芙蓉新城置业有限公司</w:t>
      </w:r>
      <w:r>
        <w:rPr>
          <w:rFonts w:hint="eastAsia" w:ascii="宋体" w:hAnsi="宋体"/>
          <w:color w:val="auto"/>
          <w:szCs w:val="21"/>
          <w:highlight w:val="none"/>
        </w:rPr>
        <w:t>的委托，对</w:t>
      </w:r>
      <w:r>
        <w:rPr>
          <w:rFonts w:hint="eastAsia" w:ascii="宋体" w:hAnsi="宋体"/>
          <w:b/>
          <w:bCs/>
          <w:color w:val="auto"/>
          <w:szCs w:val="21"/>
          <w:highlight w:val="none"/>
          <w:u w:val="single"/>
          <w:lang w:eastAsia="zh-CN"/>
        </w:rPr>
        <w:t>芙蓉生态新城六号安置小区东地块（一期）外墙防水工程</w:t>
      </w:r>
      <w:r>
        <w:rPr>
          <w:rFonts w:hint="eastAsia" w:ascii="宋体" w:hAnsi="宋体"/>
          <w:color w:val="auto"/>
          <w:szCs w:val="21"/>
          <w:highlight w:val="none"/>
        </w:rPr>
        <w:t>进行竞争性磋商采购，现采用</w:t>
      </w:r>
      <w:r>
        <w:rPr>
          <w:rFonts w:hint="eastAsia" w:ascii="宋体" w:hAnsi="宋体"/>
          <w:b/>
          <w:bCs/>
          <w:color w:val="auto"/>
          <w:szCs w:val="21"/>
          <w:highlight w:val="none"/>
          <w:u w:val="single"/>
        </w:rPr>
        <w:t>发布公告</w:t>
      </w:r>
      <w:r>
        <w:rPr>
          <w:rFonts w:hint="eastAsia" w:ascii="宋体" w:hAnsi="宋体"/>
          <w:color w:val="auto"/>
          <w:szCs w:val="21"/>
          <w:highlight w:val="none"/>
          <w:u w:val="none"/>
        </w:rPr>
        <w:t>的</w:t>
      </w:r>
      <w:r>
        <w:rPr>
          <w:rFonts w:hint="eastAsia" w:ascii="宋体" w:hAnsi="宋体"/>
          <w:color w:val="auto"/>
          <w:szCs w:val="21"/>
          <w:highlight w:val="none"/>
        </w:rPr>
        <w:t>方式，邀请符合资格条件的供应商参与竞争性磋商采购活动。</w:t>
      </w:r>
    </w:p>
    <w:p w14:paraId="1C33B09A">
      <w:pPr>
        <w:keepNext w:val="0"/>
        <w:keepLines w:val="0"/>
        <w:pageBreakBefore w:val="0"/>
        <w:kinsoku/>
        <w:wordWrap/>
        <w:overflowPunct/>
        <w:topLinePunct w:val="0"/>
        <w:autoSpaceDE/>
        <w:autoSpaceDN/>
        <w:bidi w:val="0"/>
        <w:adjustRightInd w:val="0"/>
        <w:snapToGrid w:val="0"/>
        <w:spacing w:line="360" w:lineRule="auto"/>
        <w:textAlignment w:val="auto"/>
        <w:rPr>
          <w:rFonts w:ascii="宋体" w:hAnsi="宋体"/>
          <w:b/>
          <w:color w:val="auto"/>
          <w:szCs w:val="21"/>
          <w:highlight w:val="none"/>
        </w:rPr>
      </w:pPr>
      <w:r>
        <w:rPr>
          <w:rFonts w:hint="eastAsia" w:ascii="宋体" w:hAnsi="宋体"/>
          <w:b/>
          <w:color w:val="auto"/>
          <w:szCs w:val="21"/>
          <w:highlight w:val="none"/>
        </w:rPr>
        <w:t>一、采购项目基本概况</w:t>
      </w:r>
    </w:p>
    <w:p w14:paraId="3C854B6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default" w:ascii="宋体" w:hAnsi="宋体" w:eastAsia="宋体" w:cs="Times New Roman"/>
          <w:color w:val="auto"/>
          <w:kern w:val="2"/>
          <w:sz w:val="32"/>
          <w:szCs w:val="32"/>
          <w:highlight w:val="none"/>
          <w:lang w:val="en-US" w:eastAsia="zh-CN" w:bidi="ar-SA"/>
        </w:rPr>
      </w:pPr>
      <w:r>
        <w:rPr>
          <w:rFonts w:ascii="宋体" w:hAnsi="宋体"/>
          <w:color w:val="auto"/>
          <w:szCs w:val="21"/>
          <w:highlight w:val="none"/>
        </w:rPr>
        <w:t>1、采购项目名称：</w:t>
      </w:r>
      <w:r>
        <w:rPr>
          <w:rFonts w:hint="eastAsia" w:ascii="宋体" w:hAnsi="宋体"/>
          <w:b/>
          <w:bCs/>
          <w:color w:val="auto"/>
          <w:szCs w:val="21"/>
          <w:highlight w:val="none"/>
          <w:u w:val="single"/>
          <w:lang w:eastAsia="zh-CN"/>
        </w:rPr>
        <w:t>芙蓉生态新城六号安置小区东地块（一期）外墙防水工程</w:t>
      </w:r>
      <w:r>
        <w:rPr>
          <w:rFonts w:hint="eastAsia" w:ascii="宋体" w:hAnsi="宋体"/>
          <w:color w:val="auto"/>
          <w:szCs w:val="21"/>
          <w:highlight w:val="none"/>
        </w:rPr>
        <w:t>；</w:t>
      </w:r>
    </w:p>
    <w:p w14:paraId="2F2BC47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u w:val="none"/>
          <w:lang w:val="en-US" w:eastAsia="zh-CN"/>
        </w:rPr>
        <w:t>采  购 编 号：FRCG-F202608170011；委托</w:t>
      </w:r>
      <w:r>
        <w:rPr>
          <w:rFonts w:hint="eastAsia" w:ascii="宋体" w:hAnsi="宋体"/>
          <w:color w:val="auto"/>
          <w:szCs w:val="21"/>
          <w:highlight w:val="none"/>
          <w:u w:val="none"/>
          <w:lang w:eastAsia="zh-CN"/>
        </w:rPr>
        <w:t>代理编号</w:t>
      </w:r>
      <w:r>
        <w:rPr>
          <w:rFonts w:hint="eastAsia" w:ascii="宋体" w:hAnsi="宋体"/>
          <w:color w:val="auto"/>
          <w:szCs w:val="21"/>
          <w:highlight w:val="none"/>
          <w:u w:val="none"/>
        </w:rPr>
        <w:t>：</w:t>
      </w:r>
      <w:r>
        <w:rPr>
          <w:rFonts w:hint="eastAsia" w:ascii="宋体" w:hAnsi="宋体"/>
          <w:color w:val="auto"/>
          <w:szCs w:val="21"/>
          <w:highlight w:val="none"/>
          <w:u w:val="none"/>
          <w:lang w:val="en-US" w:eastAsia="zh-CN"/>
        </w:rPr>
        <w:t>HNJR2025-056</w:t>
      </w:r>
      <w:r>
        <w:rPr>
          <w:rFonts w:hint="eastAsia" w:ascii="宋体" w:hAnsi="宋体"/>
          <w:color w:val="auto"/>
          <w:szCs w:val="21"/>
          <w:highlight w:val="none"/>
          <w:u w:val="none"/>
          <w:lang w:eastAsia="zh-CN"/>
        </w:rPr>
        <w:t>；</w:t>
      </w:r>
    </w:p>
    <w:p w14:paraId="24411B5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ascii="宋体" w:hAnsi="宋体"/>
          <w:color w:val="auto"/>
          <w:szCs w:val="21"/>
          <w:highlight w:val="none"/>
        </w:rPr>
      </w:pPr>
      <w:r>
        <w:rPr>
          <w:rFonts w:ascii="宋体" w:hAnsi="宋体"/>
          <w:color w:val="auto"/>
          <w:szCs w:val="21"/>
          <w:highlight w:val="none"/>
        </w:rPr>
        <w:t>3、采购项目预算：</w:t>
      </w:r>
      <w:r>
        <w:rPr>
          <w:rFonts w:hint="eastAsia" w:ascii="宋体" w:hAnsi="宋体"/>
          <w:b/>
          <w:bCs/>
          <w:color w:val="auto"/>
          <w:szCs w:val="21"/>
          <w:highlight w:val="none"/>
          <w:u w:val="single"/>
          <w:lang w:val="en-US" w:eastAsia="zh-CN"/>
        </w:rPr>
        <w:t>3958</w:t>
      </w:r>
      <w:r>
        <w:rPr>
          <w:rFonts w:hint="default" w:ascii="宋体" w:hAnsi="宋体"/>
          <w:b/>
          <w:bCs/>
          <w:color w:val="auto"/>
          <w:szCs w:val="21"/>
          <w:highlight w:val="none"/>
          <w:u w:val="single"/>
          <w:lang w:eastAsia="zh-CN"/>
        </w:rPr>
        <w:t>097.84</w:t>
      </w:r>
      <w:r>
        <w:rPr>
          <w:rFonts w:hint="eastAsia" w:ascii="宋体" w:hAnsi="宋体"/>
          <w:color w:val="auto"/>
          <w:szCs w:val="21"/>
          <w:highlight w:val="none"/>
          <w:lang w:eastAsia="zh-CN"/>
        </w:rPr>
        <w:t>元；</w:t>
      </w:r>
    </w:p>
    <w:p w14:paraId="5DC883C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ascii="宋体" w:hAnsi="宋体"/>
          <w:color w:val="auto"/>
          <w:szCs w:val="21"/>
          <w:highlight w:val="none"/>
          <w:u w:val="single"/>
        </w:rPr>
      </w:pPr>
      <w:r>
        <w:rPr>
          <w:rFonts w:ascii="宋体" w:hAnsi="宋体"/>
          <w:color w:val="auto"/>
          <w:szCs w:val="21"/>
          <w:highlight w:val="none"/>
        </w:rPr>
        <w:t>4、</w:t>
      </w:r>
      <w:r>
        <w:rPr>
          <w:rFonts w:hint="eastAsia" w:ascii="宋体" w:hAnsi="宋体" w:cs="宋体"/>
          <w:color w:val="auto"/>
          <w:szCs w:val="21"/>
          <w:highlight w:val="none"/>
        </w:rPr>
        <w:t>资金来源：</w:t>
      </w:r>
      <w:r>
        <w:rPr>
          <w:rFonts w:hint="eastAsia" w:ascii="宋体" w:hAnsi="宋体" w:cs="宋体"/>
          <w:b/>
          <w:bCs/>
          <w:color w:val="auto"/>
          <w:szCs w:val="21"/>
          <w:highlight w:val="none"/>
          <w:u w:val="single"/>
          <w:lang w:val="en-US" w:eastAsia="zh-CN"/>
        </w:rPr>
        <w:t>专项</w:t>
      </w:r>
      <w:r>
        <w:rPr>
          <w:rFonts w:hint="eastAsia" w:ascii="宋体" w:hAnsi="宋体" w:cs="宋体"/>
          <w:b/>
          <w:bCs/>
          <w:color w:val="auto"/>
          <w:szCs w:val="21"/>
          <w:highlight w:val="none"/>
          <w:u w:val="single"/>
          <w:lang w:eastAsia="zh-CN"/>
        </w:rPr>
        <w:t>债资金</w:t>
      </w:r>
      <w:r>
        <w:rPr>
          <w:rFonts w:hint="eastAsia" w:ascii="宋体" w:hAnsi="宋体" w:cs="宋体"/>
          <w:color w:val="auto"/>
          <w:szCs w:val="21"/>
          <w:highlight w:val="none"/>
        </w:rPr>
        <w:t>；</w:t>
      </w:r>
    </w:p>
    <w:p w14:paraId="78F67DEB">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20" w:firstLineChars="200"/>
        <w:jc w:val="left"/>
        <w:textAlignment w:val="auto"/>
        <w:rPr>
          <w:rFonts w:hint="eastAsia" w:ascii="宋体" w:hAnsi="宋体" w:eastAsia="宋体" w:cs="Times New Roman"/>
          <w:color w:val="auto"/>
          <w:szCs w:val="21"/>
          <w:highlight w:val="none"/>
          <w:lang w:eastAsia="zh-CN"/>
        </w:rPr>
      </w:pPr>
      <w:r>
        <w:rPr>
          <w:rFonts w:ascii="宋体" w:hAnsi="宋体"/>
          <w:color w:val="auto"/>
          <w:szCs w:val="21"/>
          <w:highlight w:val="none"/>
        </w:rPr>
        <w:t>5、项目基本情况：</w:t>
      </w:r>
      <w:r>
        <w:rPr>
          <w:rFonts w:hint="eastAsia" w:ascii="宋体" w:hAnsi="宋体" w:eastAsia="宋体" w:cs="Times New Roman"/>
          <w:color w:val="auto"/>
          <w:szCs w:val="21"/>
          <w:highlight w:val="none"/>
          <w:lang w:eastAsia="zh-CN"/>
        </w:rPr>
        <w:t>本项目净用地面积约62102.4平方米，总建筑面积约280536.69平方米，其中地上建筑面积约218124.1平方米，地下建筑面积约64175.71平方米。地上建筑共16栋，8栋纯住宅、3栋沿街底商+住宅、2栋独栋商业、1栋幼儿园、1栋托儿所、1栋配电房、1栋垃圾站。</w:t>
      </w:r>
    </w:p>
    <w:p w14:paraId="37B31A9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ascii="宋体" w:hAnsi="宋体"/>
          <w:color w:val="auto"/>
          <w:szCs w:val="21"/>
          <w:highlight w:val="none"/>
        </w:rPr>
      </w:pPr>
      <w:r>
        <w:rPr>
          <w:rFonts w:ascii="宋体" w:hAnsi="宋体"/>
          <w:color w:val="auto"/>
          <w:szCs w:val="21"/>
          <w:highlight w:val="none"/>
        </w:rPr>
        <w:t>6、招标范围：</w:t>
      </w:r>
      <w:r>
        <w:rPr>
          <w:rFonts w:hint="eastAsia" w:ascii="宋体" w:hAnsi="宋体"/>
          <w:b/>
          <w:bCs/>
          <w:color w:val="auto"/>
          <w:szCs w:val="21"/>
          <w:highlight w:val="none"/>
        </w:rPr>
        <w:t>本项目房屋外墙聚合物水泥防水涂料的材料提供与施工，共</w:t>
      </w:r>
      <w:r>
        <w:rPr>
          <w:rFonts w:hint="default" w:ascii="宋体" w:hAnsi="宋体"/>
          <w:b/>
          <w:bCs/>
          <w:color w:val="auto"/>
          <w:szCs w:val="21"/>
          <w:highlight w:val="none"/>
        </w:rPr>
        <w:t>167929.48</w:t>
      </w:r>
      <w:r>
        <w:rPr>
          <w:rFonts w:hint="eastAsia" w:ascii="宋体" w:hAnsi="宋体"/>
          <w:b/>
          <w:bCs/>
          <w:color w:val="auto"/>
          <w:szCs w:val="21"/>
          <w:highlight w:val="none"/>
        </w:rPr>
        <w:t>平方米，详见</w:t>
      </w:r>
      <w:r>
        <w:rPr>
          <w:rFonts w:hint="eastAsia" w:ascii="宋体" w:hAnsi="宋体"/>
          <w:b/>
          <w:bCs/>
          <w:color w:val="auto"/>
          <w:szCs w:val="21"/>
          <w:highlight w:val="none"/>
          <w:lang w:val="en-US" w:eastAsia="zh-CN"/>
        </w:rPr>
        <w:t>工程量清单</w:t>
      </w:r>
      <w:r>
        <w:rPr>
          <w:rFonts w:hint="eastAsia" w:ascii="宋体" w:hAnsi="宋体"/>
          <w:b/>
          <w:bCs/>
          <w:color w:val="auto"/>
          <w:szCs w:val="21"/>
          <w:highlight w:val="none"/>
        </w:rPr>
        <w:t>。</w:t>
      </w:r>
      <w:r>
        <w:rPr>
          <w:rFonts w:ascii="宋体" w:hAnsi="宋体"/>
          <w:color w:val="auto"/>
          <w:szCs w:val="21"/>
          <w:highlight w:val="none"/>
        </w:rPr>
        <w:t xml:space="preserve"> </w:t>
      </w:r>
    </w:p>
    <w:p w14:paraId="5575FD0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b/>
          <w:color w:val="auto"/>
          <w:szCs w:val="21"/>
          <w:highlight w:val="none"/>
        </w:rPr>
      </w:pPr>
      <w:r>
        <w:rPr>
          <w:rFonts w:hint="eastAsia" w:ascii="宋体" w:hAnsi="宋体"/>
          <w:b/>
          <w:color w:val="auto"/>
          <w:szCs w:val="21"/>
          <w:highlight w:val="none"/>
        </w:rPr>
        <w:t>二、供应商资格条件：</w:t>
      </w:r>
    </w:p>
    <w:p w14:paraId="6A5135E6">
      <w:pPr>
        <w:keepNext w:val="0"/>
        <w:keepLines w:val="0"/>
        <w:pageBreakBefore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1、供应商基本资格条件</w:t>
      </w:r>
    </w:p>
    <w:p w14:paraId="0B90D624">
      <w:pPr>
        <w:keepNext w:val="0"/>
        <w:keepLines w:val="0"/>
        <w:pageBreakBefore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满足《中华人民共和国政府采购法》第二十二条规定，并提供以下资格证明文件：</w:t>
      </w:r>
    </w:p>
    <w:p w14:paraId="32FF2493">
      <w:pPr>
        <w:keepNext w:val="0"/>
        <w:keepLines w:val="0"/>
        <w:pageBreakBefore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（1）法人提交企业法人营业执照副本(或者法人登记证书)；</w:t>
      </w:r>
    </w:p>
    <w:p w14:paraId="5D03BB6E">
      <w:pPr>
        <w:keepNext w:val="0"/>
        <w:keepLines w:val="0"/>
        <w:pageBreakBefore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（2）法人提交法定代表人身份证明原件或者法定代表人授权委托书原件并附法定代表人身份证明原件；自然人提交身份证明复印件；</w:t>
      </w:r>
    </w:p>
    <w:p w14:paraId="73D9540B">
      <w:pPr>
        <w:keepNext w:val="0"/>
        <w:keepLines w:val="0"/>
        <w:pageBreakBefore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（3）提供《湖南省政府采购供应商资格承诺函》（格式详见响应文件组成部分）</w:t>
      </w:r>
      <w:r>
        <w:rPr>
          <w:rFonts w:hint="eastAsia" w:ascii="宋体" w:hAnsi="宋体" w:cs="宋体"/>
          <w:color w:val="auto"/>
          <w:szCs w:val="21"/>
          <w:highlight w:val="none"/>
          <w:lang w:val="en-US" w:eastAsia="zh-CN"/>
        </w:rPr>
        <w:t>。</w:t>
      </w:r>
    </w:p>
    <w:p w14:paraId="4623CBD3">
      <w:pPr>
        <w:keepNext w:val="0"/>
        <w:keepLines w:val="0"/>
        <w:pageBreakBefore w:val="0"/>
        <w:widowControl/>
        <w:kinsoku/>
        <w:wordWrap/>
        <w:overflowPunct/>
        <w:topLinePunct w:val="0"/>
        <w:autoSpaceDE/>
        <w:autoSpaceDN/>
        <w:bidi w:val="0"/>
        <w:adjustRightInd w:val="0"/>
        <w:snapToGrid w:val="0"/>
        <w:spacing w:before="0" w:afterAutospacing="0" w:line="360" w:lineRule="auto"/>
        <w:ind w:left="0" w:leftChars="0" w:firstLine="420" w:firstLineChars="200"/>
        <w:jc w:val="left"/>
        <w:textAlignment w:val="auto"/>
        <w:rPr>
          <w:rFonts w:ascii="宋体" w:hAnsi="宋体"/>
          <w:color w:val="auto"/>
          <w:szCs w:val="21"/>
          <w:highlight w:val="none"/>
        </w:rPr>
      </w:pPr>
      <w:r>
        <w:rPr>
          <w:rFonts w:ascii="宋体" w:hAnsi="宋体"/>
          <w:color w:val="auto"/>
          <w:szCs w:val="21"/>
          <w:highlight w:val="none"/>
        </w:rPr>
        <w:t>2、供应商特定资格条件</w:t>
      </w:r>
      <w:r>
        <w:rPr>
          <w:rFonts w:hint="eastAsia" w:ascii="宋体" w:hAnsi="宋体"/>
          <w:color w:val="auto"/>
          <w:szCs w:val="21"/>
          <w:highlight w:val="none"/>
        </w:rPr>
        <w:t>：</w:t>
      </w:r>
    </w:p>
    <w:p w14:paraId="20021511">
      <w:pPr>
        <w:keepNext w:val="0"/>
        <w:keepLines w:val="0"/>
        <w:pageBreakBefore w:val="0"/>
        <w:kinsoku/>
        <w:wordWrap/>
        <w:overflowPunct/>
        <w:topLinePunct w:val="0"/>
        <w:autoSpaceDE/>
        <w:autoSpaceDN/>
        <w:bidi w:val="0"/>
        <w:adjustRightInd w:val="0"/>
        <w:snapToGrid w:val="0"/>
        <w:spacing w:line="360" w:lineRule="auto"/>
        <w:ind w:left="0" w:leftChars="0" w:firstLine="420" w:firstLineChars="200"/>
        <w:textAlignment w:val="auto"/>
        <w:rPr>
          <w:rFonts w:ascii="宋体" w:hAnsi="宋体" w:cs="宋体"/>
          <w:b w:val="0"/>
          <w:bCs w:val="0"/>
          <w:color w:val="auto"/>
          <w:highlight w:val="none"/>
        </w:rPr>
      </w:pPr>
      <w:r>
        <w:rPr>
          <w:rFonts w:hint="eastAsia" w:ascii="宋体" w:hAnsi="宋体" w:cs="宋体"/>
          <w:b w:val="0"/>
          <w:bCs w:val="0"/>
          <w:color w:val="auto"/>
          <w:highlight w:val="none"/>
          <w:lang w:val="en-US" w:eastAsia="zh-CN"/>
        </w:rPr>
        <w:t>2.1</w:t>
      </w:r>
      <w:r>
        <w:rPr>
          <w:rFonts w:hint="eastAsia" w:ascii="宋体" w:hAnsi="宋体" w:cs="宋体"/>
          <w:b w:val="0"/>
          <w:bCs w:val="0"/>
          <w:color w:val="auto"/>
          <w:highlight w:val="none"/>
          <w:lang w:eastAsia="zh-CN"/>
        </w:rPr>
        <w:t>湖南省外企业须按照湘建建【2015】190号文件要求办理省外入湘企业基本情况登记（以“湖南省住房和城乡建设网”查询为准）或具有入湘施工登记证（处于有效期内）</w:t>
      </w:r>
      <w:r>
        <w:rPr>
          <w:rFonts w:hint="eastAsia" w:ascii="宋体" w:hAnsi="宋体" w:cs="宋体"/>
          <w:b w:val="0"/>
          <w:bCs w:val="0"/>
          <w:color w:val="auto"/>
          <w:highlight w:val="none"/>
        </w:rPr>
        <w:t>；</w:t>
      </w:r>
    </w:p>
    <w:p w14:paraId="5545A2D1">
      <w:pPr>
        <w:keepNext w:val="0"/>
        <w:keepLines w:val="0"/>
        <w:pageBreakBefore w:val="0"/>
        <w:kinsoku/>
        <w:wordWrap/>
        <w:overflowPunct/>
        <w:topLinePunct w:val="0"/>
        <w:autoSpaceDE/>
        <w:autoSpaceDN/>
        <w:bidi w:val="0"/>
        <w:adjustRightInd w:val="0"/>
        <w:snapToGrid w:val="0"/>
        <w:spacing w:line="360" w:lineRule="auto"/>
        <w:ind w:left="0" w:leftChars="0" w:firstLine="420" w:firstLineChars="200"/>
        <w:textAlignment w:val="auto"/>
        <w:rPr>
          <w:rFonts w:ascii="宋体" w:hAnsi="宋体" w:cs="宋体"/>
          <w:b w:val="0"/>
          <w:bCs w:val="0"/>
          <w:color w:val="auto"/>
          <w:highlight w:val="none"/>
        </w:rPr>
      </w:pPr>
      <w:r>
        <w:rPr>
          <w:rFonts w:hint="eastAsia" w:ascii="宋体" w:hAnsi="宋体" w:cs="宋体"/>
          <w:b w:val="0"/>
          <w:bCs w:val="0"/>
          <w:color w:val="auto"/>
          <w:highlight w:val="none"/>
          <w:lang w:val="en-US" w:eastAsia="zh-CN"/>
        </w:rPr>
        <w:t>2.2</w:t>
      </w:r>
      <w:r>
        <w:rPr>
          <w:rFonts w:hint="eastAsia" w:ascii="宋体" w:hAnsi="宋体" w:cs="宋体"/>
          <w:b w:val="0"/>
          <w:bCs w:val="0"/>
          <w:color w:val="auto"/>
          <w:highlight w:val="none"/>
        </w:rPr>
        <w:t>供应商须具备住房城乡建设主管部门颁发的防水防腐保温工程专业承包</w:t>
      </w:r>
      <w:r>
        <w:rPr>
          <w:rFonts w:hint="eastAsia" w:ascii="宋体" w:hAnsi="宋体" w:cs="宋体"/>
          <w:b w:val="0"/>
          <w:bCs w:val="0"/>
          <w:color w:val="auto"/>
          <w:highlight w:val="none"/>
          <w:lang w:val="en-US" w:eastAsia="zh-CN"/>
        </w:rPr>
        <w:t>一级</w:t>
      </w:r>
      <w:r>
        <w:rPr>
          <w:rFonts w:hint="eastAsia" w:ascii="宋体" w:hAnsi="宋体" w:cs="宋体"/>
          <w:b w:val="0"/>
          <w:bCs w:val="0"/>
          <w:color w:val="auto"/>
          <w:highlight w:val="none"/>
        </w:rPr>
        <w:t>资质，资质证书处于有效期内（提供资质证书复印件）；</w:t>
      </w:r>
    </w:p>
    <w:p w14:paraId="79A10791">
      <w:pPr>
        <w:keepNext w:val="0"/>
        <w:keepLines w:val="0"/>
        <w:pageBreakBefore w:val="0"/>
        <w:widowControl/>
        <w:kinsoku/>
        <w:wordWrap/>
        <w:overflowPunct/>
        <w:topLinePunct w:val="0"/>
        <w:autoSpaceDE/>
        <w:autoSpaceDN/>
        <w:bidi w:val="0"/>
        <w:adjustRightInd w:val="0"/>
        <w:snapToGrid w:val="0"/>
        <w:spacing w:before="0" w:afterAutospacing="0" w:line="360" w:lineRule="auto"/>
        <w:ind w:left="0" w:leftChars="0" w:firstLine="420" w:firstLineChars="200"/>
        <w:jc w:val="left"/>
        <w:textAlignment w:val="auto"/>
        <w:rPr>
          <w:rFonts w:ascii="宋体" w:hAnsi="宋体" w:cs="宋体"/>
          <w:iCs/>
          <w:color w:val="auto"/>
          <w:szCs w:val="21"/>
          <w:highlight w:val="none"/>
        </w:rPr>
      </w:pPr>
      <w:r>
        <w:rPr>
          <w:rFonts w:ascii="宋体" w:hAnsi="宋体" w:cs="宋体"/>
          <w:color w:val="auto"/>
          <w:szCs w:val="21"/>
          <w:highlight w:val="none"/>
        </w:rPr>
        <w:t>3、单位负责人为同一人或者存在直接控股、管理关系的不同供应商，不得参加同一合同项下的采购活动。</w:t>
      </w:r>
    </w:p>
    <w:p w14:paraId="4338DA99">
      <w:pPr>
        <w:keepNext w:val="0"/>
        <w:keepLines w:val="0"/>
        <w:pageBreakBefore w:val="0"/>
        <w:widowControl/>
        <w:kinsoku/>
        <w:wordWrap/>
        <w:overflowPunct/>
        <w:topLinePunct w:val="0"/>
        <w:autoSpaceDE/>
        <w:autoSpaceDN/>
        <w:bidi w:val="0"/>
        <w:adjustRightInd w:val="0"/>
        <w:snapToGrid w:val="0"/>
        <w:spacing w:before="0" w:afterAutospacing="0" w:line="360" w:lineRule="auto"/>
        <w:ind w:left="0" w:leftChars="0" w:firstLine="420" w:firstLineChars="200"/>
        <w:jc w:val="left"/>
        <w:textAlignment w:val="auto"/>
        <w:rPr>
          <w:rFonts w:ascii="宋体" w:hAnsi="宋体" w:cs="宋体"/>
          <w:iCs/>
          <w:color w:val="auto"/>
          <w:szCs w:val="21"/>
          <w:highlight w:val="none"/>
        </w:rPr>
      </w:pPr>
      <w:r>
        <w:rPr>
          <w:rFonts w:ascii="宋体" w:hAnsi="宋体" w:cs="宋体"/>
          <w:color w:val="auto"/>
          <w:szCs w:val="21"/>
          <w:highlight w:val="none"/>
        </w:rPr>
        <w:t>4、为本采购项目提供整体设计、规范编制或者项目管理、监理、检测等服务的，不得再参加此项目的其他招标采购活动。</w:t>
      </w:r>
    </w:p>
    <w:p w14:paraId="15CC472B">
      <w:pPr>
        <w:keepNext w:val="0"/>
        <w:keepLines w:val="0"/>
        <w:pageBreakBefore w:val="0"/>
        <w:widowControl/>
        <w:kinsoku/>
        <w:wordWrap/>
        <w:overflowPunct/>
        <w:topLinePunct w:val="0"/>
        <w:autoSpaceDE/>
        <w:autoSpaceDN/>
        <w:bidi w:val="0"/>
        <w:adjustRightInd w:val="0"/>
        <w:snapToGrid w:val="0"/>
        <w:spacing w:before="0" w:afterAutospacing="0" w:line="360" w:lineRule="auto"/>
        <w:ind w:left="0" w:leftChars="0" w:firstLine="420" w:firstLineChars="200"/>
        <w:jc w:val="left"/>
        <w:textAlignment w:val="auto"/>
        <w:rPr>
          <w:rFonts w:ascii="宋体" w:hAnsi="宋体" w:cs="宋体"/>
          <w:iCs/>
          <w:color w:val="auto"/>
          <w:szCs w:val="21"/>
          <w:highlight w:val="none"/>
        </w:rPr>
      </w:pPr>
      <w:r>
        <w:rPr>
          <w:rFonts w:ascii="宋体" w:hAnsi="宋体" w:cs="宋体"/>
          <w:color w:val="auto"/>
          <w:szCs w:val="21"/>
          <w:highlight w:val="none"/>
        </w:rPr>
        <w:t>5、列入失信被执行人、重大税收违法案件当事人名单，列入政府采购严重违法失信行为记录名单的，拒绝其参与政府采购活动。</w:t>
      </w:r>
    </w:p>
    <w:p w14:paraId="04E50D4C">
      <w:pPr>
        <w:keepNext w:val="0"/>
        <w:keepLines w:val="0"/>
        <w:pageBreakBefore w:val="0"/>
        <w:widowControl/>
        <w:kinsoku/>
        <w:wordWrap/>
        <w:overflowPunct/>
        <w:topLinePunct w:val="0"/>
        <w:autoSpaceDE/>
        <w:autoSpaceDN/>
        <w:bidi w:val="0"/>
        <w:adjustRightInd w:val="0"/>
        <w:snapToGrid w:val="0"/>
        <w:spacing w:before="0" w:afterAutospacing="0" w:line="360" w:lineRule="auto"/>
        <w:ind w:left="0" w:leftChars="0" w:firstLine="420" w:firstLineChars="200"/>
        <w:jc w:val="left"/>
        <w:textAlignment w:val="auto"/>
        <w:rPr>
          <w:rFonts w:ascii="宋体" w:hAnsi="宋体" w:cs="宋体"/>
          <w:iCs/>
          <w:color w:val="auto"/>
          <w:szCs w:val="21"/>
          <w:highlight w:val="none"/>
        </w:rPr>
      </w:pPr>
      <w:r>
        <w:rPr>
          <w:rFonts w:ascii="宋体" w:hAnsi="宋体" w:cs="宋体"/>
          <w:color w:val="auto"/>
          <w:szCs w:val="21"/>
          <w:highlight w:val="none"/>
        </w:rPr>
        <w:t>6、本次招标</w:t>
      </w:r>
      <w:r>
        <w:rPr>
          <w:rFonts w:hint="eastAsia" w:ascii="宋体" w:hAnsi="宋体" w:cs="宋体"/>
          <w:b/>
          <w:bCs/>
          <w:color w:val="auto"/>
          <w:szCs w:val="21"/>
          <w:highlight w:val="none"/>
          <w:u w:val="single"/>
        </w:rPr>
        <w:t>不接受</w:t>
      </w:r>
      <w:r>
        <w:rPr>
          <w:rFonts w:ascii="宋体" w:hAnsi="宋体" w:cs="宋体"/>
          <w:color w:val="auto"/>
          <w:szCs w:val="21"/>
          <w:highlight w:val="none"/>
        </w:rPr>
        <w:t>联合体投标 。</w:t>
      </w:r>
    </w:p>
    <w:p w14:paraId="388AB997">
      <w:pPr>
        <w:keepNext w:val="0"/>
        <w:keepLines w:val="0"/>
        <w:pageBreakBefore w:val="0"/>
        <w:widowControl/>
        <w:kinsoku/>
        <w:wordWrap/>
        <w:overflowPunct/>
        <w:topLinePunct w:val="0"/>
        <w:autoSpaceDE/>
        <w:autoSpaceDN/>
        <w:bidi w:val="0"/>
        <w:adjustRightInd w:val="0"/>
        <w:snapToGrid w:val="0"/>
        <w:spacing w:before="0" w:afterAutospacing="0" w:line="360" w:lineRule="auto"/>
        <w:ind w:left="0" w:leftChars="0" w:firstLine="420" w:firstLineChars="200"/>
        <w:jc w:val="left"/>
        <w:textAlignment w:val="auto"/>
        <w:rPr>
          <w:rFonts w:hint="eastAsia" w:ascii="宋体" w:hAnsi="宋体" w:cs="宋体"/>
          <w:iCs/>
          <w:color w:val="auto"/>
          <w:szCs w:val="21"/>
          <w:highlight w:val="none"/>
        </w:rPr>
      </w:pPr>
      <w:r>
        <w:rPr>
          <w:rFonts w:hint="eastAsia" w:ascii="宋体" w:hAnsi="宋体" w:cs="宋体"/>
          <w:iCs/>
          <w:color w:val="auto"/>
          <w:szCs w:val="21"/>
          <w:highlight w:val="none"/>
        </w:rPr>
        <w:t>注：</w:t>
      </w:r>
    </w:p>
    <w:p w14:paraId="27A3B499">
      <w:pPr>
        <w:keepNext w:val="0"/>
        <w:keepLines w:val="0"/>
        <w:pageBreakBefore w:val="0"/>
        <w:widowControl/>
        <w:kinsoku/>
        <w:wordWrap/>
        <w:overflowPunct/>
        <w:topLinePunct w:val="0"/>
        <w:autoSpaceDE/>
        <w:autoSpaceDN/>
        <w:bidi w:val="0"/>
        <w:adjustRightInd w:val="0"/>
        <w:snapToGrid w:val="0"/>
        <w:spacing w:before="0" w:afterAutospacing="0" w:line="360" w:lineRule="auto"/>
        <w:ind w:left="0" w:leftChars="0" w:firstLine="420" w:firstLineChars="200"/>
        <w:jc w:val="left"/>
        <w:textAlignment w:val="auto"/>
        <w:rPr>
          <w:rFonts w:ascii="宋体" w:hAnsi="宋体" w:cs="宋体"/>
          <w:iCs/>
          <w:color w:val="auto"/>
          <w:szCs w:val="21"/>
          <w:highlight w:val="none"/>
        </w:rPr>
      </w:pPr>
      <w:r>
        <w:rPr>
          <w:rFonts w:hint="eastAsia" w:ascii="宋体" w:hAnsi="宋体" w:cs="宋体"/>
          <w:iCs/>
          <w:color w:val="auto"/>
          <w:szCs w:val="21"/>
          <w:highlight w:val="none"/>
        </w:rPr>
        <w:t>（</w:t>
      </w:r>
      <w:r>
        <w:rPr>
          <w:rFonts w:ascii="宋体" w:hAnsi="宋体" w:cs="宋体"/>
          <w:iCs/>
          <w:color w:val="auto"/>
          <w:szCs w:val="21"/>
          <w:highlight w:val="none"/>
        </w:rPr>
        <w:t>1）</w:t>
      </w:r>
      <w:r>
        <w:rPr>
          <w:rFonts w:hint="eastAsia" w:ascii="宋体" w:hAnsi="宋体" w:cs="宋体"/>
          <w:iCs/>
          <w:color w:val="auto"/>
          <w:szCs w:val="21"/>
          <w:highlight w:val="none"/>
          <w:lang w:val="en-US" w:eastAsia="zh-CN"/>
        </w:rPr>
        <w:t>供应商</w:t>
      </w:r>
      <w:r>
        <w:rPr>
          <w:rFonts w:ascii="宋体" w:hAnsi="宋体" w:cs="宋体"/>
          <w:iCs/>
          <w:color w:val="auto"/>
          <w:szCs w:val="21"/>
          <w:highlight w:val="none"/>
        </w:rPr>
        <w:t>可按响应文件组成中格式提供《供应商资格承诺函》参与采购活动，除营业执照扫描件、法定代表人身份证明、法定代表人授权委托书（附法定代表人身份证明）及特定资格条件外，无需再提供财务状况报告、依法缴纳税收和社会保障资金的相关材料、参加政府采购活动前3年内在经营活动中没有重大违法记录的书面声明。</w:t>
      </w:r>
    </w:p>
    <w:p w14:paraId="2266CA9B">
      <w:pPr>
        <w:keepNext w:val="0"/>
        <w:keepLines w:val="0"/>
        <w:pageBreakBefore w:val="0"/>
        <w:widowControl/>
        <w:kinsoku/>
        <w:wordWrap/>
        <w:overflowPunct/>
        <w:topLinePunct w:val="0"/>
        <w:autoSpaceDE/>
        <w:autoSpaceDN/>
        <w:bidi w:val="0"/>
        <w:adjustRightInd w:val="0"/>
        <w:snapToGrid w:val="0"/>
        <w:spacing w:before="0" w:afterAutospacing="0" w:line="360" w:lineRule="auto"/>
        <w:ind w:left="0" w:leftChars="0" w:firstLine="420" w:firstLineChars="200"/>
        <w:jc w:val="left"/>
        <w:textAlignment w:val="auto"/>
        <w:rPr>
          <w:rFonts w:hint="default" w:eastAsia="宋体"/>
          <w:color w:val="auto"/>
          <w:highlight w:val="none"/>
          <w:lang w:val="en-US" w:eastAsia="zh-CN"/>
        </w:rPr>
      </w:pPr>
      <w:r>
        <w:rPr>
          <w:rFonts w:hint="eastAsia" w:ascii="宋体" w:hAnsi="宋体" w:cs="宋体"/>
          <w:iCs/>
          <w:color w:val="auto"/>
          <w:szCs w:val="21"/>
          <w:highlight w:val="none"/>
        </w:rPr>
        <w:t>（</w:t>
      </w:r>
      <w:r>
        <w:rPr>
          <w:rFonts w:ascii="宋体" w:hAnsi="宋体" w:cs="宋体"/>
          <w:iCs/>
          <w:color w:val="auto"/>
          <w:szCs w:val="21"/>
          <w:highlight w:val="none"/>
        </w:rPr>
        <w:t>2）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和税务登记证和社会保险登记证，符合基本资格条件的相关条款。供应商自行注明是“三证合一”或“五证合一”并承担相关法律责任。</w:t>
      </w:r>
    </w:p>
    <w:p w14:paraId="702001EC">
      <w:pPr>
        <w:keepNext w:val="0"/>
        <w:keepLines w:val="0"/>
        <w:pageBreakBefore w:val="0"/>
        <w:kinsoku/>
        <w:wordWrap/>
        <w:overflowPunct/>
        <w:topLinePunct w:val="0"/>
        <w:autoSpaceDE/>
        <w:autoSpaceDN/>
        <w:bidi w:val="0"/>
        <w:adjustRightInd w:val="0"/>
        <w:snapToGrid w:val="0"/>
        <w:spacing w:line="360" w:lineRule="auto"/>
        <w:ind w:left="0" w:leftChars="0"/>
        <w:textAlignment w:val="auto"/>
        <w:rPr>
          <w:rFonts w:ascii="宋体" w:hAnsi="宋体"/>
          <w:b/>
          <w:color w:val="auto"/>
          <w:szCs w:val="21"/>
          <w:highlight w:val="none"/>
        </w:rPr>
      </w:pPr>
      <w:r>
        <w:rPr>
          <w:rFonts w:hint="eastAsia" w:ascii="宋体" w:hAnsi="宋体"/>
          <w:b/>
          <w:color w:val="auto"/>
          <w:szCs w:val="21"/>
          <w:highlight w:val="none"/>
        </w:rPr>
        <w:t>三、获取磋商文件的时间、地点、方式及磋商文件售价</w:t>
      </w:r>
    </w:p>
    <w:p w14:paraId="044F7214">
      <w:pPr>
        <w:keepNext w:val="0"/>
        <w:keepLines w:val="0"/>
        <w:pageBreakBefore w:val="0"/>
        <w:kinsoku/>
        <w:wordWrap/>
        <w:overflowPunct/>
        <w:topLinePunct w:val="0"/>
        <w:autoSpaceDE/>
        <w:autoSpaceDN/>
        <w:bidi w:val="0"/>
        <w:adjustRightInd w:val="0"/>
        <w:snapToGrid w:val="0"/>
        <w:spacing w:line="360" w:lineRule="auto"/>
        <w:ind w:left="0" w:leftChars="0" w:firstLine="424" w:firstLineChars="202"/>
        <w:textAlignment w:val="auto"/>
        <w:rPr>
          <w:rFonts w:ascii="宋体" w:hAnsi="宋体"/>
          <w:color w:val="auto"/>
          <w:highlight w:val="none"/>
        </w:rPr>
      </w:pPr>
      <w:r>
        <w:rPr>
          <w:rFonts w:ascii="宋体" w:hAnsi="宋体"/>
          <w:color w:val="auto"/>
          <w:highlight w:val="none"/>
        </w:rPr>
        <w:t>1、凡有意参加磋商采购活动的，请于</w:t>
      </w:r>
      <w:r>
        <w:rPr>
          <w:rFonts w:hint="eastAsia" w:ascii="宋体" w:hAnsi="宋体"/>
          <w:b/>
          <w:bCs/>
          <w:color w:val="auto"/>
          <w:highlight w:val="none"/>
          <w:u w:val="single"/>
          <w:lang w:eastAsia="zh-CN"/>
        </w:rPr>
        <w:t>202</w:t>
      </w:r>
      <w:r>
        <w:rPr>
          <w:rFonts w:hint="eastAsia" w:ascii="宋体" w:hAnsi="宋体"/>
          <w:b/>
          <w:bCs/>
          <w:color w:val="auto"/>
          <w:highlight w:val="none"/>
          <w:u w:val="single"/>
          <w:lang w:val="en-US" w:eastAsia="zh-CN"/>
        </w:rPr>
        <w:t>6</w:t>
      </w:r>
      <w:r>
        <w:rPr>
          <w:rFonts w:hint="eastAsia" w:ascii="宋体" w:hAnsi="宋体"/>
          <w:color w:val="auto"/>
          <w:highlight w:val="none"/>
        </w:rPr>
        <w:t>年</w:t>
      </w:r>
      <w:r>
        <w:rPr>
          <w:rFonts w:hint="eastAsia" w:ascii="宋体" w:hAnsi="宋体"/>
          <w:b/>
          <w:bCs/>
          <w:color w:val="auto"/>
          <w:highlight w:val="none"/>
          <w:u w:val="single"/>
          <w:lang w:val="en-US" w:eastAsia="zh-CN"/>
        </w:rPr>
        <w:t>8</w:t>
      </w:r>
      <w:r>
        <w:rPr>
          <w:rFonts w:hint="eastAsia" w:ascii="宋体" w:hAnsi="宋体"/>
          <w:b/>
          <w:bCs/>
          <w:color w:val="auto"/>
          <w:highlight w:val="none"/>
          <w:u w:val="none"/>
          <w:lang w:val="en-US" w:eastAsia="zh-CN"/>
        </w:rPr>
        <w:t>月</w:t>
      </w:r>
      <w:r>
        <w:rPr>
          <w:rFonts w:hint="eastAsia" w:ascii="宋体" w:hAnsi="宋体"/>
          <w:b/>
          <w:bCs/>
          <w:color w:val="auto"/>
          <w:highlight w:val="none"/>
          <w:u w:val="single"/>
          <w:lang w:val="en-US" w:eastAsia="zh-CN"/>
        </w:rPr>
        <w:t>18</w:t>
      </w:r>
      <w:r>
        <w:rPr>
          <w:rFonts w:hint="eastAsia" w:ascii="宋体" w:hAnsi="宋体"/>
          <w:color w:val="auto"/>
          <w:highlight w:val="none"/>
        </w:rPr>
        <w:t>日至</w:t>
      </w:r>
      <w:r>
        <w:rPr>
          <w:rFonts w:hint="eastAsia" w:ascii="宋体" w:hAnsi="宋体"/>
          <w:b/>
          <w:bCs/>
          <w:color w:val="auto"/>
          <w:highlight w:val="none"/>
          <w:u w:val="single"/>
          <w:lang w:eastAsia="zh-CN"/>
        </w:rPr>
        <w:t>202</w:t>
      </w:r>
      <w:r>
        <w:rPr>
          <w:rFonts w:hint="eastAsia" w:ascii="宋体" w:hAnsi="宋体"/>
          <w:b/>
          <w:bCs/>
          <w:color w:val="auto"/>
          <w:highlight w:val="none"/>
          <w:u w:val="single"/>
          <w:lang w:val="en-US" w:eastAsia="zh-CN"/>
        </w:rPr>
        <w:t>6</w:t>
      </w:r>
      <w:r>
        <w:rPr>
          <w:rFonts w:hint="eastAsia" w:ascii="宋体" w:hAnsi="宋体"/>
          <w:color w:val="auto"/>
          <w:highlight w:val="none"/>
        </w:rPr>
        <w:t>年</w:t>
      </w:r>
      <w:r>
        <w:rPr>
          <w:rFonts w:hint="eastAsia" w:ascii="宋体" w:hAnsi="宋体"/>
          <w:b/>
          <w:bCs/>
          <w:color w:val="auto"/>
          <w:highlight w:val="none"/>
          <w:u w:val="single"/>
          <w:lang w:val="en-US" w:eastAsia="zh-CN"/>
        </w:rPr>
        <w:t>8</w:t>
      </w:r>
      <w:r>
        <w:rPr>
          <w:rFonts w:hint="eastAsia" w:ascii="宋体" w:hAnsi="宋体"/>
          <w:b/>
          <w:bCs/>
          <w:color w:val="auto"/>
          <w:highlight w:val="none"/>
          <w:u w:val="none"/>
          <w:lang w:val="en-US" w:eastAsia="zh-CN"/>
        </w:rPr>
        <w:t>月</w:t>
      </w:r>
      <w:r>
        <w:rPr>
          <w:rFonts w:hint="eastAsia" w:ascii="宋体" w:hAnsi="宋体"/>
          <w:b/>
          <w:bCs/>
          <w:color w:val="auto"/>
          <w:highlight w:val="none"/>
          <w:u w:val="single"/>
          <w:lang w:val="en-US" w:eastAsia="zh-CN"/>
        </w:rPr>
        <w:t>25</w:t>
      </w:r>
      <w:r>
        <w:rPr>
          <w:rFonts w:hint="eastAsia" w:ascii="宋体" w:hAnsi="宋体"/>
          <w:color w:val="auto"/>
          <w:highlight w:val="none"/>
        </w:rPr>
        <w:t>日</w:t>
      </w:r>
      <w:r>
        <w:rPr>
          <w:rFonts w:ascii="宋体" w:hAnsi="宋体"/>
          <w:color w:val="auto"/>
          <w:highlight w:val="none"/>
        </w:rPr>
        <w:t>(节假日除外)，每日上午9:00至12:00、下午14:00至17:00</w:t>
      </w:r>
      <w:r>
        <w:rPr>
          <w:rFonts w:hint="eastAsia" w:ascii="宋体" w:hAnsi="宋体"/>
          <w:color w:val="auto"/>
          <w:highlight w:val="none"/>
          <w:lang w:eastAsia="zh-CN"/>
        </w:rPr>
        <w:t>（</w:t>
      </w:r>
      <w:r>
        <w:rPr>
          <w:rFonts w:ascii="宋体" w:hAnsi="宋体"/>
          <w:color w:val="auto"/>
          <w:highlight w:val="none"/>
        </w:rPr>
        <w:t>北京时间</w:t>
      </w:r>
      <w:r>
        <w:rPr>
          <w:rFonts w:hint="eastAsia" w:ascii="宋体" w:hAnsi="宋体"/>
          <w:color w:val="auto"/>
          <w:highlight w:val="none"/>
          <w:lang w:eastAsia="zh-CN"/>
        </w:rPr>
        <w:t>）</w:t>
      </w:r>
      <w:r>
        <w:rPr>
          <w:rFonts w:ascii="宋体" w:hAnsi="宋体"/>
          <w:color w:val="auto"/>
          <w:highlight w:val="none"/>
        </w:rPr>
        <w:t>，持法定代表人身份证明或授权委托书</w:t>
      </w:r>
      <w:r>
        <w:rPr>
          <w:rFonts w:hint="eastAsia" w:ascii="宋体" w:hAnsi="宋体"/>
          <w:color w:val="auto"/>
          <w:highlight w:val="none"/>
          <w:lang w:eastAsia="zh-CN"/>
        </w:rPr>
        <w:t>（</w:t>
      </w:r>
      <w:r>
        <w:rPr>
          <w:rFonts w:ascii="宋体" w:hAnsi="宋体"/>
          <w:color w:val="auto"/>
          <w:highlight w:val="none"/>
        </w:rPr>
        <w:t>附法定代表人身份证明</w:t>
      </w:r>
      <w:r>
        <w:rPr>
          <w:rFonts w:hint="eastAsia" w:ascii="宋体" w:hAnsi="宋体"/>
          <w:color w:val="auto"/>
          <w:highlight w:val="none"/>
          <w:lang w:eastAsia="zh-CN"/>
        </w:rPr>
        <w:t>）</w:t>
      </w:r>
      <w:r>
        <w:rPr>
          <w:rFonts w:ascii="宋体" w:hAnsi="宋体"/>
          <w:color w:val="auto"/>
          <w:highlight w:val="none"/>
        </w:rPr>
        <w:t>、个人身份证到</w:t>
      </w:r>
      <w:r>
        <w:rPr>
          <w:rFonts w:hint="eastAsia" w:ascii="宋体" w:hAnsi="宋体" w:eastAsia="宋体" w:cs="Times New Roman"/>
          <w:b/>
          <w:bCs/>
          <w:color w:val="auto"/>
          <w:highlight w:val="none"/>
          <w:u w:val="single"/>
          <w:lang w:eastAsia="zh-CN"/>
        </w:rPr>
        <w:t>湖南金瑞项目管理有限公司（湖南省长沙市长沙县人民东路二段169号长沙铭诚绿谷智慧产业园15栋401）</w:t>
      </w:r>
      <w:r>
        <w:rPr>
          <w:rFonts w:hint="eastAsia" w:ascii="宋体" w:hAnsi="宋体"/>
          <w:color w:val="auto"/>
          <w:highlight w:val="none"/>
        </w:rPr>
        <w:t>领取磋商文件。</w:t>
      </w:r>
      <w:r>
        <w:rPr>
          <w:rFonts w:ascii="宋体" w:hAnsi="宋体"/>
          <w:color w:val="auto"/>
          <w:highlight w:val="none"/>
        </w:rPr>
        <w:t xml:space="preserve"> </w:t>
      </w:r>
    </w:p>
    <w:p w14:paraId="61364CDD">
      <w:pPr>
        <w:keepNext w:val="0"/>
        <w:keepLines w:val="0"/>
        <w:pageBreakBefore w:val="0"/>
        <w:kinsoku/>
        <w:wordWrap/>
        <w:overflowPunct/>
        <w:topLinePunct w:val="0"/>
        <w:autoSpaceDE/>
        <w:autoSpaceDN/>
        <w:bidi w:val="0"/>
        <w:adjustRightInd w:val="0"/>
        <w:snapToGrid w:val="0"/>
        <w:spacing w:line="360" w:lineRule="auto"/>
        <w:ind w:left="0" w:leftChars="0" w:firstLine="424" w:firstLineChars="202"/>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、本磋商文件公告期限为</w:t>
      </w:r>
      <w:r>
        <w:rPr>
          <w:rFonts w:hint="eastAsia" w:ascii="宋体" w:hAnsi="宋体"/>
          <w:b/>
          <w:bCs/>
          <w:color w:val="auto"/>
          <w:highlight w:val="none"/>
          <w:u w:val="single"/>
          <w:lang w:eastAsia="zh-CN"/>
        </w:rPr>
        <w:t>202</w:t>
      </w:r>
      <w:r>
        <w:rPr>
          <w:rFonts w:hint="eastAsia" w:ascii="宋体" w:hAnsi="宋体"/>
          <w:b/>
          <w:bCs/>
          <w:color w:val="auto"/>
          <w:highlight w:val="none"/>
          <w:u w:val="single"/>
          <w:lang w:val="en-US" w:eastAsia="zh-CN"/>
        </w:rPr>
        <w:t>6</w:t>
      </w:r>
      <w:r>
        <w:rPr>
          <w:rFonts w:hint="eastAsia" w:ascii="宋体" w:hAnsi="宋体"/>
          <w:color w:val="auto"/>
          <w:highlight w:val="none"/>
        </w:rPr>
        <w:t>年</w:t>
      </w:r>
      <w:r>
        <w:rPr>
          <w:rFonts w:hint="eastAsia" w:ascii="宋体" w:hAnsi="宋体"/>
          <w:b/>
          <w:bCs/>
          <w:color w:val="auto"/>
          <w:highlight w:val="none"/>
          <w:u w:val="single"/>
          <w:lang w:val="en-US" w:eastAsia="zh-CN"/>
        </w:rPr>
        <w:t>8</w:t>
      </w:r>
      <w:r>
        <w:rPr>
          <w:rFonts w:hint="eastAsia" w:ascii="宋体" w:hAnsi="宋体"/>
          <w:b/>
          <w:bCs/>
          <w:color w:val="auto"/>
          <w:highlight w:val="none"/>
          <w:u w:val="none"/>
          <w:lang w:val="en-US" w:eastAsia="zh-CN"/>
        </w:rPr>
        <w:t>月</w:t>
      </w:r>
      <w:r>
        <w:rPr>
          <w:rFonts w:hint="eastAsia" w:ascii="宋体" w:hAnsi="宋体"/>
          <w:b/>
          <w:bCs/>
          <w:color w:val="auto"/>
          <w:highlight w:val="none"/>
          <w:u w:val="single"/>
          <w:lang w:val="en-US" w:eastAsia="zh-CN"/>
        </w:rPr>
        <w:t>18</w:t>
      </w:r>
      <w:r>
        <w:rPr>
          <w:rFonts w:hint="eastAsia" w:ascii="宋体" w:hAnsi="宋体"/>
          <w:color w:val="auto"/>
          <w:highlight w:val="none"/>
        </w:rPr>
        <w:t>日至</w:t>
      </w:r>
      <w:r>
        <w:rPr>
          <w:rFonts w:hint="eastAsia" w:ascii="宋体" w:hAnsi="宋体"/>
          <w:b/>
          <w:bCs/>
          <w:color w:val="auto"/>
          <w:highlight w:val="none"/>
          <w:u w:val="single"/>
          <w:lang w:eastAsia="zh-CN"/>
        </w:rPr>
        <w:t>202</w:t>
      </w:r>
      <w:r>
        <w:rPr>
          <w:rFonts w:hint="eastAsia" w:ascii="宋体" w:hAnsi="宋体"/>
          <w:b/>
          <w:bCs/>
          <w:color w:val="auto"/>
          <w:highlight w:val="none"/>
          <w:u w:val="single"/>
          <w:lang w:val="en-US" w:eastAsia="zh-CN"/>
        </w:rPr>
        <w:t>6</w:t>
      </w:r>
      <w:r>
        <w:rPr>
          <w:rFonts w:hint="eastAsia" w:ascii="宋体" w:hAnsi="宋体"/>
          <w:color w:val="auto"/>
          <w:highlight w:val="none"/>
        </w:rPr>
        <w:t>年</w:t>
      </w:r>
      <w:r>
        <w:rPr>
          <w:rFonts w:hint="eastAsia" w:ascii="宋体" w:hAnsi="宋体"/>
          <w:b/>
          <w:bCs/>
          <w:color w:val="auto"/>
          <w:highlight w:val="none"/>
          <w:u w:val="single"/>
          <w:lang w:val="en-US" w:eastAsia="zh-CN"/>
        </w:rPr>
        <w:t>8</w:t>
      </w:r>
      <w:r>
        <w:rPr>
          <w:rFonts w:hint="eastAsia" w:ascii="宋体" w:hAnsi="宋体"/>
          <w:b/>
          <w:bCs/>
          <w:color w:val="auto"/>
          <w:highlight w:val="none"/>
          <w:u w:val="none"/>
          <w:lang w:val="en-US" w:eastAsia="zh-CN"/>
        </w:rPr>
        <w:t>月</w:t>
      </w:r>
      <w:r>
        <w:rPr>
          <w:rFonts w:hint="eastAsia" w:ascii="宋体" w:hAnsi="宋体"/>
          <w:b/>
          <w:bCs/>
          <w:color w:val="auto"/>
          <w:highlight w:val="none"/>
          <w:u w:val="single"/>
          <w:lang w:val="en-US" w:eastAsia="zh-CN"/>
        </w:rPr>
        <w:t>21</w:t>
      </w:r>
      <w:r>
        <w:rPr>
          <w:rFonts w:hint="eastAsia" w:ascii="宋体" w:hAnsi="宋体"/>
          <w:color w:val="auto"/>
          <w:highlight w:val="none"/>
        </w:rPr>
        <w:t>日</w:t>
      </w:r>
    </w:p>
    <w:p w14:paraId="4734E576">
      <w:pPr>
        <w:keepNext w:val="0"/>
        <w:keepLines w:val="0"/>
        <w:pageBreakBefore w:val="0"/>
        <w:kinsoku/>
        <w:wordWrap/>
        <w:overflowPunct/>
        <w:topLinePunct w:val="0"/>
        <w:autoSpaceDE/>
        <w:autoSpaceDN/>
        <w:bidi w:val="0"/>
        <w:adjustRightInd w:val="0"/>
        <w:snapToGrid w:val="0"/>
        <w:spacing w:line="360" w:lineRule="auto"/>
        <w:ind w:left="0" w:leftChars="0" w:firstLine="424" w:firstLineChars="202"/>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、磋商文件</w:t>
      </w:r>
      <w:r>
        <w:rPr>
          <w:rFonts w:hint="eastAsia" w:ascii="宋体" w:hAnsi="宋体"/>
          <w:bCs/>
          <w:color w:val="auto"/>
          <w:highlight w:val="none"/>
        </w:rPr>
        <w:t>售价</w:t>
      </w:r>
      <w:r>
        <w:rPr>
          <w:rFonts w:hint="eastAsia" w:ascii="宋体" w:hAnsi="宋体"/>
          <w:b w:val="0"/>
          <w:bCs/>
          <w:color w:val="auto"/>
          <w:highlight w:val="none"/>
        </w:rPr>
        <w:t>：</w:t>
      </w:r>
      <w:r>
        <w:rPr>
          <w:rFonts w:hint="eastAsia" w:ascii="宋体" w:hAnsi="宋体"/>
          <w:b w:val="0"/>
          <w:bCs/>
          <w:color w:val="auto"/>
          <w:highlight w:val="none"/>
          <w:u w:val="single"/>
          <w:lang w:val="en-US" w:eastAsia="zh-CN"/>
        </w:rPr>
        <w:t>0</w:t>
      </w:r>
      <w:r>
        <w:rPr>
          <w:rFonts w:hint="eastAsia" w:ascii="宋体" w:hAnsi="宋体"/>
          <w:b w:val="0"/>
          <w:bCs/>
          <w:color w:val="auto"/>
          <w:highlight w:val="none"/>
        </w:rPr>
        <w:t>元</w:t>
      </w:r>
      <w:r>
        <w:rPr>
          <w:rFonts w:ascii="宋体" w:hAnsi="宋体"/>
          <w:b w:val="0"/>
          <w:bCs/>
          <w:color w:val="auto"/>
          <w:highlight w:val="none"/>
        </w:rPr>
        <w:t>/套</w:t>
      </w:r>
      <w:r>
        <w:rPr>
          <w:rFonts w:hint="eastAsia" w:ascii="宋体" w:hAnsi="宋体"/>
          <w:b w:val="0"/>
          <w:bCs/>
          <w:color w:val="auto"/>
          <w:highlight w:val="none"/>
        </w:rPr>
        <w:t>。</w:t>
      </w:r>
    </w:p>
    <w:p w14:paraId="30D2C4D3">
      <w:pPr>
        <w:keepNext w:val="0"/>
        <w:keepLines w:val="0"/>
        <w:pageBreakBefore w:val="0"/>
        <w:kinsoku/>
        <w:wordWrap/>
        <w:overflowPunct/>
        <w:topLinePunct w:val="0"/>
        <w:autoSpaceDE/>
        <w:autoSpaceDN/>
        <w:bidi w:val="0"/>
        <w:adjustRightInd w:val="0"/>
        <w:snapToGrid w:val="0"/>
        <w:spacing w:line="360" w:lineRule="auto"/>
        <w:ind w:left="0" w:leftChars="0"/>
        <w:textAlignment w:val="auto"/>
        <w:rPr>
          <w:rFonts w:ascii="宋体" w:hAnsi="宋体"/>
          <w:b/>
          <w:color w:val="auto"/>
          <w:szCs w:val="21"/>
          <w:highlight w:val="none"/>
        </w:rPr>
      </w:pPr>
      <w:r>
        <w:rPr>
          <w:rFonts w:hint="eastAsia" w:ascii="宋体" w:hAnsi="宋体"/>
          <w:b/>
          <w:color w:val="auto"/>
          <w:szCs w:val="21"/>
          <w:highlight w:val="none"/>
        </w:rPr>
        <w:t>四、响应文件提交的截止时间、开启时间及地点</w:t>
      </w:r>
    </w:p>
    <w:p w14:paraId="16796D5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ascii="宋体" w:hAnsi="宋体"/>
          <w:color w:val="auto"/>
          <w:szCs w:val="21"/>
          <w:highlight w:val="none"/>
        </w:rPr>
      </w:pPr>
      <w:r>
        <w:rPr>
          <w:rFonts w:ascii="宋体" w:hAnsi="宋体"/>
          <w:color w:val="auto"/>
          <w:szCs w:val="21"/>
          <w:highlight w:val="none"/>
        </w:rPr>
        <w:t>1、提交首次响应文件的截止时间为</w:t>
      </w:r>
      <w:r>
        <w:rPr>
          <w:rFonts w:hint="eastAsia" w:ascii="宋体" w:hAnsi="宋体"/>
          <w:b/>
          <w:bCs/>
          <w:color w:val="auto"/>
          <w:szCs w:val="21"/>
          <w:highlight w:val="none"/>
          <w:u w:val="single"/>
          <w:lang w:eastAsia="zh-CN"/>
        </w:rPr>
        <w:t>202</w:t>
      </w:r>
      <w:r>
        <w:rPr>
          <w:rFonts w:hint="eastAsia" w:ascii="宋体" w:hAnsi="宋体"/>
          <w:b/>
          <w:bCs/>
          <w:color w:val="auto"/>
          <w:szCs w:val="21"/>
          <w:highlight w:val="none"/>
          <w:u w:val="single"/>
          <w:lang w:val="en-US" w:eastAsia="zh-CN"/>
        </w:rPr>
        <w:t>6</w:t>
      </w:r>
      <w:r>
        <w:rPr>
          <w:rFonts w:hint="eastAsia" w:ascii="宋体" w:hAnsi="宋体"/>
          <w:color w:val="auto"/>
          <w:szCs w:val="21"/>
          <w:highlight w:val="none"/>
        </w:rPr>
        <w:t>年</w:t>
      </w:r>
      <w:r>
        <w:rPr>
          <w:rFonts w:hint="eastAsia" w:ascii="宋体" w:hAnsi="宋体"/>
          <w:b/>
          <w:bCs/>
          <w:color w:val="auto"/>
          <w:szCs w:val="21"/>
          <w:highlight w:val="none"/>
          <w:u w:val="single"/>
          <w:lang w:val="en-US" w:eastAsia="zh-CN"/>
        </w:rPr>
        <w:t>8</w:t>
      </w:r>
      <w:r>
        <w:rPr>
          <w:rFonts w:hint="eastAsia" w:ascii="宋体" w:hAnsi="宋体"/>
          <w:b/>
          <w:bCs/>
          <w:color w:val="auto"/>
          <w:szCs w:val="21"/>
          <w:highlight w:val="none"/>
          <w:u w:val="none"/>
          <w:lang w:val="en-US" w:eastAsia="zh-CN"/>
        </w:rPr>
        <w:t>月</w:t>
      </w:r>
      <w:r>
        <w:rPr>
          <w:rFonts w:hint="eastAsia" w:ascii="宋体" w:hAnsi="宋体"/>
          <w:b/>
          <w:bCs/>
          <w:color w:val="auto"/>
          <w:szCs w:val="21"/>
          <w:highlight w:val="none"/>
          <w:u w:val="single"/>
          <w:lang w:val="en-US" w:eastAsia="zh-CN"/>
        </w:rPr>
        <w:t>31</w:t>
      </w:r>
      <w:r>
        <w:rPr>
          <w:rFonts w:hint="eastAsia" w:ascii="宋体" w:hAnsi="宋体"/>
          <w:color w:val="auto"/>
          <w:szCs w:val="21"/>
          <w:highlight w:val="none"/>
        </w:rPr>
        <w:t>日</w:t>
      </w:r>
      <w:r>
        <w:rPr>
          <w:rFonts w:hint="eastAsia" w:ascii="宋体" w:hAnsi="宋体"/>
          <w:color w:val="auto"/>
          <w:szCs w:val="21"/>
          <w:highlight w:val="none"/>
          <w:u w:val="single"/>
          <w:lang w:val="en-US" w:eastAsia="zh-CN"/>
        </w:rPr>
        <w:t>14</w:t>
      </w:r>
      <w:r>
        <w:rPr>
          <w:rFonts w:hint="eastAsia" w:ascii="宋体" w:hAnsi="宋体"/>
          <w:color w:val="auto"/>
          <w:szCs w:val="21"/>
          <w:highlight w:val="none"/>
        </w:rPr>
        <w:t>时</w:t>
      </w:r>
      <w:r>
        <w:rPr>
          <w:rFonts w:hint="eastAsia" w:ascii="宋体" w:hAnsi="宋体"/>
          <w:color w:val="auto"/>
          <w:szCs w:val="21"/>
          <w:highlight w:val="none"/>
          <w:u w:val="single"/>
          <w:lang w:val="en-US" w:eastAsia="zh-CN"/>
        </w:rPr>
        <w:t>30</w:t>
      </w:r>
      <w:r>
        <w:rPr>
          <w:rFonts w:hint="eastAsia" w:ascii="宋体" w:hAnsi="宋体"/>
          <w:color w:val="auto"/>
          <w:szCs w:val="21"/>
          <w:highlight w:val="none"/>
        </w:rPr>
        <w:t>分（北京时间），地点为</w:t>
      </w:r>
      <w:r>
        <w:rPr>
          <w:rFonts w:hint="eastAsia" w:ascii="宋体" w:hAnsi="宋体"/>
          <w:b/>
          <w:bCs/>
          <w:color w:val="auto"/>
          <w:szCs w:val="21"/>
          <w:highlight w:val="none"/>
          <w:u w:val="single"/>
          <w:lang w:eastAsia="zh-CN"/>
        </w:rPr>
        <w:t>湖南金瑞项目管理有限公司（</w:t>
      </w:r>
      <w:r>
        <w:rPr>
          <w:rFonts w:hint="eastAsia" w:ascii="宋体" w:hAnsi="宋体"/>
          <w:b/>
          <w:color w:val="auto"/>
          <w:szCs w:val="21"/>
          <w:highlight w:val="none"/>
          <w:u w:val="single"/>
          <w:lang w:eastAsia="zh-CN"/>
        </w:rPr>
        <w:t>湖南省长沙市长沙县人民东路二段169号长沙铭诚绿谷智慧产业园15栋401</w:t>
      </w:r>
      <w:r>
        <w:rPr>
          <w:rFonts w:hint="eastAsia" w:ascii="宋体" w:hAnsi="宋体" w:eastAsia="宋体" w:cs="Times New Roman"/>
          <w:color w:val="auto"/>
          <w:highlight w:val="none"/>
          <w:u w:val="single"/>
          <w:lang w:eastAsia="zh-CN"/>
        </w:rPr>
        <w:t>）</w:t>
      </w:r>
      <w:r>
        <w:rPr>
          <w:rFonts w:ascii="宋体" w:hAnsi="宋体"/>
          <w:color w:val="auto"/>
          <w:szCs w:val="21"/>
          <w:highlight w:val="none"/>
        </w:rPr>
        <w:t>。在截止时间后送达的响应文件为无效文件，采购人、采购代理机构或者磋商小组应当拒收。</w:t>
      </w:r>
    </w:p>
    <w:p w14:paraId="02755D7C">
      <w:pPr>
        <w:keepNext w:val="0"/>
        <w:keepLines w:val="0"/>
        <w:pageBreakBefore w:val="0"/>
        <w:tabs>
          <w:tab w:val="left" w:pos="360"/>
        </w:tabs>
        <w:kinsoku/>
        <w:wordWrap/>
        <w:overflowPunct/>
        <w:topLinePunct w:val="0"/>
        <w:autoSpaceDE/>
        <w:autoSpaceDN/>
        <w:bidi w:val="0"/>
        <w:adjustRightInd w:val="0"/>
        <w:snapToGrid w:val="0"/>
        <w:spacing w:line="360" w:lineRule="auto"/>
        <w:ind w:left="0" w:leftChars="0" w:firstLine="420" w:firstLineChars="200"/>
        <w:textAlignment w:val="auto"/>
        <w:rPr>
          <w:rFonts w:ascii="宋体" w:hAnsi="宋体"/>
          <w:color w:val="auto"/>
          <w:szCs w:val="21"/>
          <w:highlight w:val="none"/>
        </w:rPr>
      </w:pPr>
      <w:r>
        <w:rPr>
          <w:rFonts w:ascii="宋体" w:hAnsi="宋体"/>
          <w:color w:val="auto"/>
          <w:szCs w:val="21"/>
          <w:highlight w:val="none"/>
        </w:rPr>
        <w:t>2、首次响应文件的开启时间及地点与提交首次响应文件的截止时间及地点为同一时间及地点。</w:t>
      </w:r>
    </w:p>
    <w:p w14:paraId="75852378">
      <w:pPr>
        <w:keepNext w:val="0"/>
        <w:keepLines w:val="0"/>
        <w:pageBreakBefore w:val="0"/>
        <w:kinsoku/>
        <w:wordWrap/>
        <w:overflowPunct/>
        <w:topLinePunct w:val="0"/>
        <w:autoSpaceDE/>
        <w:autoSpaceDN/>
        <w:bidi w:val="0"/>
        <w:adjustRightInd w:val="0"/>
        <w:snapToGrid w:val="0"/>
        <w:spacing w:line="360" w:lineRule="auto"/>
        <w:ind w:left="0" w:leftChars="0"/>
        <w:textAlignment w:val="auto"/>
        <w:rPr>
          <w:rFonts w:ascii="宋体" w:hAnsi="宋体"/>
          <w:b/>
          <w:color w:val="auto"/>
          <w:szCs w:val="21"/>
          <w:highlight w:val="none"/>
        </w:rPr>
      </w:pPr>
      <w:r>
        <w:rPr>
          <w:rFonts w:hint="eastAsia" w:ascii="宋体" w:hAnsi="宋体"/>
          <w:b/>
          <w:color w:val="auto"/>
          <w:szCs w:val="21"/>
          <w:highlight w:val="none"/>
        </w:rPr>
        <w:t>五、采购项目联系人姓名和电话</w:t>
      </w:r>
    </w:p>
    <w:p w14:paraId="6A252A47">
      <w:pPr>
        <w:keepNext w:val="0"/>
        <w:keepLines w:val="0"/>
        <w:pageBreakBefore w:val="0"/>
        <w:kinsoku/>
        <w:wordWrap/>
        <w:overflowPunct/>
        <w:topLinePunct w:val="0"/>
        <w:autoSpaceDE/>
        <w:autoSpaceDN/>
        <w:bidi w:val="0"/>
        <w:adjustRightInd w:val="0"/>
        <w:snapToGrid w:val="0"/>
        <w:spacing w:line="360" w:lineRule="auto"/>
        <w:ind w:left="0" w:leftChars="0" w:firstLine="424" w:firstLineChars="202"/>
        <w:textAlignment w:val="auto"/>
        <w:rPr>
          <w:rFonts w:ascii="宋体" w:hAnsi="宋体"/>
          <w:b w:val="0"/>
          <w:bCs w:val="0"/>
          <w:color w:val="auto"/>
          <w:highlight w:val="none"/>
        </w:rPr>
      </w:pPr>
      <w:r>
        <w:rPr>
          <w:rFonts w:hint="eastAsia" w:ascii="宋体" w:hAnsi="宋体"/>
          <w:color w:val="auto"/>
          <w:highlight w:val="none"/>
        </w:rPr>
        <w:t>采</w:t>
      </w:r>
      <w:r>
        <w:rPr>
          <w:rFonts w:ascii="宋体" w:hAnsi="宋体"/>
          <w:color w:val="auto"/>
          <w:highlight w:val="none"/>
        </w:rPr>
        <w:t xml:space="preserve"> </w:t>
      </w:r>
      <w:r>
        <w:rPr>
          <w:rFonts w:hint="eastAsia" w:ascii="宋体" w:hAnsi="宋体"/>
          <w:color w:val="auto"/>
          <w:highlight w:val="none"/>
        </w:rPr>
        <w:t>购</w:t>
      </w:r>
      <w:r>
        <w:rPr>
          <w:rFonts w:ascii="宋体" w:hAnsi="宋体"/>
          <w:color w:val="auto"/>
          <w:highlight w:val="none"/>
        </w:rPr>
        <w:t xml:space="preserve"> </w:t>
      </w:r>
      <w:r>
        <w:rPr>
          <w:rFonts w:hint="eastAsia" w:ascii="宋体" w:hAnsi="宋体"/>
          <w:color w:val="auto"/>
          <w:highlight w:val="none"/>
        </w:rPr>
        <w:t>人：</w:t>
      </w:r>
      <w:r>
        <w:rPr>
          <w:rFonts w:hint="eastAsia" w:ascii="宋体" w:hAnsi="宋体"/>
          <w:b w:val="0"/>
          <w:bCs w:val="0"/>
          <w:color w:val="auto"/>
          <w:highlight w:val="none"/>
          <w:u w:val="single"/>
          <w:lang w:eastAsia="zh-CN"/>
        </w:rPr>
        <w:t>长沙芙蓉新城置业有限公司</w:t>
      </w:r>
      <w:r>
        <w:rPr>
          <w:rFonts w:ascii="宋体" w:hAnsi="宋体"/>
          <w:b w:val="0"/>
          <w:bCs w:val="0"/>
          <w:color w:val="auto"/>
          <w:highlight w:val="none"/>
        </w:rPr>
        <w:t xml:space="preserve">             </w:t>
      </w:r>
    </w:p>
    <w:p w14:paraId="117C357F">
      <w:pPr>
        <w:keepNext w:val="0"/>
        <w:keepLines w:val="0"/>
        <w:pageBreakBefore w:val="0"/>
        <w:kinsoku/>
        <w:wordWrap/>
        <w:overflowPunct/>
        <w:topLinePunct w:val="0"/>
        <w:autoSpaceDE/>
        <w:autoSpaceDN/>
        <w:bidi w:val="0"/>
        <w:adjustRightInd w:val="0"/>
        <w:snapToGrid w:val="0"/>
        <w:spacing w:line="360" w:lineRule="auto"/>
        <w:ind w:left="0" w:leftChars="0" w:firstLine="424" w:firstLineChars="202"/>
        <w:textAlignment w:val="auto"/>
        <w:rPr>
          <w:rFonts w:hint="default" w:ascii="宋体" w:hAnsi="宋体" w:eastAsia="宋体"/>
          <w:b w:val="0"/>
          <w:bCs w:val="0"/>
          <w:color w:val="auto"/>
          <w:highlight w:val="none"/>
          <w:lang w:val="en-US" w:eastAsia="zh-CN"/>
        </w:rPr>
      </w:pPr>
      <w:r>
        <w:rPr>
          <w:rFonts w:hint="eastAsia" w:ascii="宋体" w:hAnsi="宋体"/>
          <w:b w:val="0"/>
          <w:bCs w:val="0"/>
          <w:color w:val="auto"/>
          <w:highlight w:val="none"/>
        </w:rPr>
        <w:t>联</w:t>
      </w:r>
      <w:r>
        <w:rPr>
          <w:rFonts w:ascii="宋体" w:hAnsi="宋体"/>
          <w:b w:val="0"/>
          <w:bCs w:val="0"/>
          <w:color w:val="auto"/>
          <w:highlight w:val="none"/>
        </w:rPr>
        <w:t xml:space="preserve"> </w:t>
      </w:r>
      <w:r>
        <w:rPr>
          <w:rFonts w:hint="eastAsia" w:ascii="宋体" w:hAnsi="宋体"/>
          <w:b w:val="0"/>
          <w:bCs w:val="0"/>
          <w:color w:val="auto"/>
          <w:highlight w:val="none"/>
        </w:rPr>
        <w:t>系</w:t>
      </w:r>
      <w:r>
        <w:rPr>
          <w:rFonts w:ascii="宋体" w:hAnsi="宋体"/>
          <w:b w:val="0"/>
          <w:bCs w:val="0"/>
          <w:color w:val="auto"/>
          <w:highlight w:val="none"/>
        </w:rPr>
        <w:t xml:space="preserve"> </w:t>
      </w:r>
      <w:r>
        <w:rPr>
          <w:rFonts w:hint="eastAsia" w:ascii="宋体" w:hAnsi="宋体"/>
          <w:b w:val="0"/>
          <w:bCs w:val="0"/>
          <w:color w:val="auto"/>
          <w:highlight w:val="none"/>
        </w:rPr>
        <w:t>人：</w:t>
      </w:r>
      <w:r>
        <w:rPr>
          <w:rFonts w:hint="eastAsia" w:ascii="宋体" w:hAnsi="宋体"/>
          <w:b w:val="0"/>
          <w:bCs w:val="0"/>
          <w:color w:val="auto"/>
          <w:highlight w:val="none"/>
          <w:lang w:val="en-US" w:eastAsia="zh-CN"/>
        </w:rPr>
        <w:t>杨先生</w:t>
      </w:r>
    </w:p>
    <w:p w14:paraId="33579C8D">
      <w:pPr>
        <w:keepNext w:val="0"/>
        <w:keepLines w:val="0"/>
        <w:pageBreakBefore w:val="0"/>
        <w:kinsoku/>
        <w:wordWrap/>
        <w:overflowPunct/>
        <w:topLinePunct w:val="0"/>
        <w:autoSpaceDE/>
        <w:autoSpaceDN/>
        <w:bidi w:val="0"/>
        <w:adjustRightInd w:val="0"/>
        <w:snapToGrid w:val="0"/>
        <w:spacing w:line="360" w:lineRule="auto"/>
        <w:ind w:left="0" w:leftChars="0" w:firstLine="424" w:firstLineChars="202"/>
        <w:textAlignment w:val="auto"/>
        <w:rPr>
          <w:rFonts w:hint="default" w:ascii="宋体" w:hAnsi="宋体" w:eastAsia="宋体"/>
          <w:b w:val="0"/>
          <w:bCs w:val="0"/>
          <w:color w:val="auto"/>
          <w:highlight w:val="none"/>
          <w:lang w:val="en-US" w:eastAsia="zh-CN"/>
        </w:rPr>
      </w:pPr>
      <w:r>
        <w:rPr>
          <w:rFonts w:hint="eastAsia" w:ascii="宋体" w:hAnsi="宋体"/>
          <w:b w:val="0"/>
          <w:bCs w:val="0"/>
          <w:color w:val="auto"/>
          <w:highlight w:val="none"/>
        </w:rPr>
        <w:t>电</w:t>
      </w:r>
      <w:r>
        <w:rPr>
          <w:rFonts w:ascii="宋体" w:hAnsi="宋体"/>
          <w:b w:val="0"/>
          <w:bCs w:val="0"/>
          <w:color w:val="auto"/>
          <w:highlight w:val="none"/>
        </w:rPr>
        <w:t xml:space="preserve">    </w:t>
      </w:r>
      <w:r>
        <w:rPr>
          <w:rFonts w:hint="eastAsia" w:ascii="宋体" w:hAnsi="宋体"/>
          <w:b w:val="0"/>
          <w:bCs w:val="0"/>
          <w:color w:val="auto"/>
          <w:highlight w:val="none"/>
        </w:rPr>
        <w:t>话：</w:t>
      </w:r>
      <w:r>
        <w:rPr>
          <w:rFonts w:hint="eastAsia" w:ascii="宋体" w:hAnsi="宋体"/>
          <w:b w:val="0"/>
          <w:bCs w:val="0"/>
          <w:color w:val="auto"/>
          <w:highlight w:val="none"/>
          <w:lang w:val="en-US" w:eastAsia="zh-CN"/>
        </w:rPr>
        <w:t>0731-82191861</w:t>
      </w:r>
    </w:p>
    <w:p w14:paraId="7F8990B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default" w:ascii="宋体" w:hAnsi="宋体" w:eastAsia="宋体"/>
          <w:b w:val="0"/>
          <w:bCs w:val="0"/>
          <w:color w:val="auto"/>
          <w:highlight w:val="none"/>
          <w:lang w:val="en-US" w:eastAsia="zh-CN"/>
        </w:rPr>
      </w:pPr>
      <w:r>
        <w:rPr>
          <w:rFonts w:hint="eastAsia" w:ascii="宋体" w:hAnsi="宋体"/>
          <w:b w:val="0"/>
          <w:bCs w:val="0"/>
          <w:color w:val="auto"/>
          <w:highlight w:val="none"/>
        </w:rPr>
        <w:t>地</w:t>
      </w:r>
      <w:r>
        <w:rPr>
          <w:rFonts w:ascii="宋体" w:hAnsi="宋体"/>
          <w:b w:val="0"/>
          <w:bCs w:val="0"/>
          <w:color w:val="auto"/>
          <w:highlight w:val="none"/>
        </w:rPr>
        <w:t xml:space="preserve">    </w:t>
      </w:r>
      <w:r>
        <w:rPr>
          <w:rFonts w:hint="eastAsia" w:ascii="宋体" w:hAnsi="宋体"/>
          <w:b w:val="0"/>
          <w:bCs w:val="0"/>
          <w:color w:val="auto"/>
          <w:highlight w:val="none"/>
        </w:rPr>
        <w:t>址：</w:t>
      </w:r>
      <w:r>
        <w:rPr>
          <w:rFonts w:hint="eastAsia" w:ascii="宋体" w:hAnsi="宋体"/>
          <w:b w:val="0"/>
          <w:bCs w:val="0"/>
          <w:color w:val="auto"/>
          <w:highlight w:val="none"/>
          <w:u w:val="single"/>
          <w:lang w:eastAsia="zh-CN"/>
        </w:rPr>
        <w:t>长沙市芙蓉区浏阳河大道588号红橡华园17</w:t>
      </w:r>
      <w:r>
        <w:rPr>
          <w:rFonts w:hint="eastAsia" w:ascii="宋体" w:hAnsi="宋体"/>
          <w:b w:val="0"/>
          <w:bCs w:val="0"/>
          <w:color w:val="auto"/>
          <w:highlight w:val="none"/>
          <w:u w:val="single"/>
          <w:lang w:val="en-US" w:eastAsia="zh-CN"/>
        </w:rPr>
        <w:t>楼</w:t>
      </w:r>
    </w:p>
    <w:p w14:paraId="1215A496">
      <w:pPr>
        <w:keepNext w:val="0"/>
        <w:keepLines w:val="0"/>
        <w:pageBreakBefore w:val="0"/>
        <w:kinsoku/>
        <w:wordWrap/>
        <w:overflowPunct/>
        <w:topLinePunct w:val="0"/>
        <w:autoSpaceDE/>
        <w:autoSpaceDN/>
        <w:bidi w:val="0"/>
        <w:adjustRightInd w:val="0"/>
        <w:snapToGrid w:val="0"/>
        <w:spacing w:line="360" w:lineRule="auto"/>
        <w:ind w:left="0" w:leftChars="0" w:firstLine="424" w:firstLineChars="202"/>
        <w:textAlignment w:val="auto"/>
        <w:rPr>
          <w:rFonts w:ascii="宋体" w:hAnsi="宋体"/>
          <w:b w:val="0"/>
          <w:bCs w:val="0"/>
          <w:color w:val="auto"/>
          <w:highlight w:val="none"/>
        </w:rPr>
      </w:pPr>
      <w:r>
        <w:rPr>
          <w:rFonts w:hint="eastAsia" w:ascii="宋体" w:hAnsi="宋体"/>
          <w:b w:val="0"/>
          <w:bCs w:val="0"/>
          <w:color w:val="auto"/>
          <w:highlight w:val="none"/>
        </w:rPr>
        <w:t>代理机构：</w:t>
      </w:r>
      <w:r>
        <w:rPr>
          <w:rFonts w:hint="eastAsia" w:ascii="宋体" w:hAnsi="宋体"/>
          <w:b w:val="0"/>
          <w:bCs w:val="0"/>
          <w:color w:val="auto"/>
          <w:highlight w:val="none"/>
          <w:u w:val="single"/>
          <w:lang w:eastAsia="zh-CN"/>
        </w:rPr>
        <w:t xml:space="preserve">湖南金瑞项目管理有限公司   </w:t>
      </w:r>
      <w:r>
        <w:rPr>
          <w:rFonts w:ascii="宋体" w:hAnsi="宋体"/>
          <w:b w:val="0"/>
          <w:bCs w:val="0"/>
          <w:color w:val="auto"/>
          <w:highlight w:val="none"/>
        </w:rPr>
        <w:t xml:space="preserve"> </w:t>
      </w:r>
    </w:p>
    <w:p w14:paraId="02DA36EE">
      <w:pPr>
        <w:keepNext w:val="0"/>
        <w:keepLines w:val="0"/>
        <w:pageBreakBefore w:val="0"/>
        <w:kinsoku/>
        <w:wordWrap/>
        <w:overflowPunct/>
        <w:topLinePunct w:val="0"/>
        <w:autoSpaceDE/>
        <w:autoSpaceDN/>
        <w:bidi w:val="0"/>
        <w:adjustRightInd w:val="0"/>
        <w:snapToGrid w:val="0"/>
        <w:spacing w:line="360" w:lineRule="auto"/>
        <w:ind w:left="0" w:leftChars="0" w:firstLine="424" w:firstLineChars="202"/>
        <w:textAlignment w:val="auto"/>
        <w:rPr>
          <w:rFonts w:hint="default" w:ascii="宋体" w:hAnsi="宋体" w:eastAsia="宋体"/>
          <w:b w:val="0"/>
          <w:bCs w:val="0"/>
          <w:color w:val="auto"/>
          <w:highlight w:val="none"/>
          <w:lang w:val="en-US" w:eastAsia="zh-CN"/>
        </w:rPr>
      </w:pPr>
      <w:r>
        <w:rPr>
          <w:rFonts w:hint="eastAsia" w:ascii="宋体" w:hAnsi="宋体"/>
          <w:b w:val="0"/>
          <w:bCs w:val="0"/>
          <w:color w:val="auto"/>
          <w:highlight w:val="none"/>
        </w:rPr>
        <w:t>联</w:t>
      </w:r>
      <w:r>
        <w:rPr>
          <w:rFonts w:ascii="宋体" w:hAnsi="宋体"/>
          <w:b w:val="0"/>
          <w:bCs w:val="0"/>
          <w:color w:val="auto"/>
          <w:highlight w:val="none"/>
        </w:rPr>
        <w:t xml:space="preserve"> </w:t>
      </w:r>
      <w:r>
        <w:rPr>
          <w:rFonts w:hint="eastAsia" w:ascii="宋体" w:hAnsi="宋体"/>
          <w:b w:val="0"/>
          <w:bCs w:val="0"/>
          <w:color w:val="auto"/>
          <w:highlight w:val="none"/>
        </w:rPr>
        <w:t>系</w:t>
      </w:r>
      <w:r>
        <w:rPr>
          <w:rFonts w:ascii="宋体" w:hAnsi="宋体"/>
          <w:b w:val="0"/>
          <w:bCs w:val="0"/>
          <w:color w:val="auto"/>
          <w:highlight w:val="none"/>
        </w:rPr>
        <w:t xml:space="preserve"> </w:t>
      </w:r>
      <w:r>
        <w:rPr>
          <w:rFonts w:hint="eastAsia" w:ascii="宋体" w:hAnsi="宋体"/>
          <w:b w:val="0"/>
          <w:bCs w:val="0"/>
          <w:color w:val="auto"/>
          <w:highlight w:val="none"/>
        </w:rPr>
        <w:t>人：</w:t>
      </w:r>
      <w:r>
        <w:rPr>
          <w:rFonts w:hint="eastAsia" w:ascii="宋体" w:hAnsi="宋体"/>
          <w:b w:val="0"/>
          <w:bCs w:val="0"/>
          <w:color w:val="auto"/>
          <w:highlight w:val="none"/>
          <w:u w:val="single"/>
          <w:lang w:eastAsia="zh-CN"/>
        </w:rPr>
        <w:t>周权（项目负责人）、廖丽</w:t>
      </w:r>
    </w:p>
    <w:p w14:paraId="7C4A41E3">
      <w:pPr>
        <w:keepNext w:val="0"/>
        <w:keepLines w:val="0"/>
        <w:pageBreakBefore w:val="0"/>
        <w:kinsoku/>
        <w:wordWrap/>
        <w:overflowPunct/>
        <w:topLinePunct w:val="0"/>
        <w:autoSpaceDE/>
        <w:autoSpaceDN/>
        <w:bidi w:val="0"/>
        <w:adjustRightInd w:val="0"/>
        <w:snapToGrid w:val="0"/>
        <w:spacing w:line="360" w:lineRule="auto"/>
        <w:ind w:left="0" w:leftChars="0" w:firstLine="424" w:firstLineChars="202"/>
        <w:textAlignment w:val="auto"/>
        <w:rPr>
          <w:rFonts w:hint="eastAsia" w:ascii="宋体" w:hAnsi="宋体"/>
          <w:color w:val="auto"/>
          <w:szCs w:val="21"/>
          <w:highlight w:val="none"/>
          <w:lang w:eastAsia="zh-CN"/>
        </w:rPr>
      </w:pPr>
      <w:r>
        <w:rPr>
          <w:rFonts w:hint="eastAsia" w:ascii="宋体" w:hAnsi="宋体"/>
          <w:b w:val="0"/>
          <w:bCs w:val="0"/>
          <w:color w:val="auto"/>
          <w:highlight w:val="none"/>
        </w:rPr>
        <w:t>电</w:t>
      </w:r>
      <w:r>
        <w:rPr>
          <w:rFonts w:ascii="宋体" w:hAnsi="宋体"/>
          <w:b w:val="0"/>
          <w:bCs w:val="0"/>
          <w:color w:val="auto"/>
          <w:highlight w:val="none"/>
        </w:rPr>
        <w:t xml:space="preserve">    </w:t>
      </w:r>
      <w:r>
        <w:rPr>
          <w:rFonts w:hint="eastAsia" w:ascii="宋体" w:hAnsi="宋体"/>
          <w:b w:val="0"/>
          <w:bCs w:val="0"/>
          <w:color w:val="auto"/>
          <w:highlight w:val="none"/>
        </w:rPr>
        <w:t>话：</w:t>
      </w:r>
      <w:r>
        <w:rPr>
          <w:rFonts w:hint="eastAsia" w:ascii="宋体" w:hAnsi="宋体"/>
          <w:color w:val="auto"/>
          <w:szCs w:val="21"/>
          <w:highlight w:val="none"/>
          <w:u w:val="single"/>
          <w:lang w:eastAsia="zh-CN"/>
        </w:rPr>
        <w:t>0731-82041912</w:t>
      </w:r>
    </w:p>
    <w:p w14:paraId="420225F9">
      <w:pPr>
        <w:keepNext w:val="0"/>
        <w:keepLines w:val="0"/>
        <w:pageBreakBefore w:val="0"/>
        <w:kinsoku/>
        <w:wordWrap/>
        <w:overflowPunct/>
        <w:topLinePunct w:val="0"/>
        <w:autoSpaceDE/>
        <w:autoSpaceDN/>
        <w:bidi w:val="0"/>
        <w:adjustRightInd w:val="0"/>
        <w:snapToGrid w:val="0"/>
        <w:spacing w:line="360" w:lineRule="auto"/>
        <w:ind w:left="0" w:leftChars="0" w:firstLine="424" w:firstLineChars="202"/>
        <w:textAlignment w:val="auto"/>
        <w:rPr>
          <w:rFonts w:hint="eastAsia" w:ascii="宋体" w:hAnsi="宋体" w:eastAsia="宋体" w:cs="Times New Roman"/>
          <w:color w:val="auto"/>
          <w:szCs w:val="21"/>
          <w:highlight w:val="none"/>
          <w:lang w:eastAsia="zh-CN"/>
        </w:rPr>
      </w:pPr>
      <w:r>
        <w:rPr>
          <w:rFonts w:hint="eastAsia" w:ascii="宋体" w:hAnsi="宋体"/>
          <w:color w:val="auto"/>
          <w:highlight w:val="none"/>
        </w:rPr>
        <w:t>地</w:t>
      </w:r>
      <w:r>
        <w:rPr>
          <w:rFonts w:ascii="宋体" w:hAnsi="宋体"/>
          <w:color w:val="auto"/>
          <w:highlight w:val="none"/>
        </w:rPr>
        <w:t xml:space="preserve">    </w:t>
      </w:r>
      <w:r>
        <w:rPr>
          <w:rFonts w:hint="eastAsia" w:ascii="宋体" w:hAnsi="宋体"/>
          <w:color w:val="auto"/>
          <w:highlight w:val="none"/>
        </w:rPr>
        <w:t>址：</w:t>
      </w:r>
      <w:r>
        <w:rPr>
          <w:rFonts w:hint="eastAsia" w:ascii="宋体" w:hAnsi="宋体" w:eastAsia="宋体" w:cs="Times New Roman"/>
          <w:color w:val="auto"/>
          <w:szCs w:val="21"/>
          <w:highlight w:val="none"/>
          <w:u w:val="single"/>
          <w:lang w:eastAsia="zh-CN"/>
        </w:rPr>
        <w:t>湖南省长沙市长沙县人民东路二段169号长沙铭诚绿谷智慧产业园15栋401</w:t>
      </w:r>
    </w:p>
    <w:p w14:paraId="498A9C1D">
      <w:pPr>
        <w:keepNext w:val="0"/>
        <w:keepLines w:val="0"/>
        <w:pageBreakBefore w:val="0"/>
        <w:widowControl/>
        <w:kinsoku/>
        <w:wordWrap/>
        <w:overflowPunct/>
        <w:topLinePunct w:val="0"/>
        <w:autoSpaceDE/>
        <w:autoSpaceDN/>
        <w:bidi w:val="0"/>
        <w:adjustRightInd w:val="0"/>
        <w:snapToGrid w:val="0"/>
        <w:spacing w:line="360" w:lineRule="auto"/>
        <w:ind w:left="0" w:leftChars="0" w:firstLine="0" w:firstLineChars="0"/>
        <w:textAlignment w:val="auto"/>
        <w:rPr>
          <w:rFonts w:ascii="宋体" w:hAnsi="宋体"/>
          <w:b/>
          <w:bCs/>
          <w:color w:val="auto"/>
          <w:highlight w:val="none"/>
        </w:rPr>
      </w:pPr>
      <w:r>
        <w:rPr>
          <w:rFonts w:hint="eastAsia" w:ascii="宋体" w:hAnsi="宋体"/>
          <w:b/>
          <w:bCs/>
          <w:color w:val="auto"/>
          <w:highlight w:val="none"/>
        </w:rPr>
        <w:t>六、监督部门</w:t>
      </w:r>
    </w:p>
    <w:p w14:paraId="28AA7EC7">
      <w:pPr>
        <w:keepNext w:val="0"/>
        <w:keepLines w:val="0"/>
        <w:pageBreakBefore w:val="0"/>
        <w:kinsoku/>
        <w:wordWrap/>
        <w:overflowPunct/>
        <w:topLinePunct w:val="0"/>
        <w:autoSpaceDE/>
        <w:autoSpaceDN/>
        <w:bidi w:val="0"/>
        <w:adjustRightInd w:val="0"/>
        <w:snapToGrid w:val="0"/>
        <w:spacing w:line="360" w:lineRule="auto"/>
        <w:ind w:left="0" w:leftChars="0" w:firstLine="424" w:firstLineChars="202"/>
        <w:textAlignment w:val="auto"/>
        <w:rPr>
          <w:rFonts w:hint="eastAsia" w:ascii="宋体" w:hAnsi="宋体" w:eastAsia="宋体"/>
          <w:color w:val="auto"/>
          <w:highlight w:val="none"/>
          <w:lang w:eastAsia="zh-CN"/>
        </w:rPr>
      </w:pPr>
      <w:r>
        <w:rPr>
          <w:rFonts w:hint="eastAsia" w:ascii="宋体" w:hAnsi="宋体"/>
          <w:color w:val="auto"/>
          <w:highlight w:val="none"/>
        </w:rPr>
        <w:t>本项目接受</w:t>
      </w:r>
      <w:r>
        <w:rPr>
          <w:rFonts w:hint="eastAsia" w:ascii="宋体" w:hAnsi="宋体"/>
          <w:b w:val="0"/>
          <w:bCs w:val="0"/>
          <w:color w:val="auto"/>
          <w:highlight w:val="none"/>
          <w:u w:val="single"/>
          <w:lang w:eastAsia="zh-CN"/>
        </w:rPr>
        <w:t>长沙</w:t>
      </w:r>
      <w:r>
        <w:rPr>
          <w:rFonts w:hint="eastAsia" w:ascii="宋体" w:hAnsi="宋体"/>
          <w:b w:val="0"/>
          <w:bCs w:val="0"/>
          <w:color w:val="auto"/>
          <w:highlight w:val="none"/>
          <w:u w:val="single"/>
          <w:lang w:val="en-US" w:eastAsia="zh-CN"/>
        </w:rPr>
        <w:t>市</w:t>
      </w:r>
      <w:r>
        <w:rPr>
          <w:rFonts w:hint="eastAsia" w:ascii="宋体" w:hAnsi="宋体"/>
          <w:b w:val="0"/>
          <w:bCs w:val="0"/>
          <w:color w:val="auto"/>
          <w:highlight w:val="none"/>
          <w:u w:val="single"/>
          <w:lang w:eastAsia="zh-CN"/>
        </w:rPr>
        <w:t>芙蓉</w:t>
      </w:r>
      <w:r>
        <w:rPr>
          <w:rFonts w:hint="eastAsia" w:ascii="宋体" w:hAnsi="宋体"/>
          <w:b w:val="0"/>
          <w:bCs w:val="0"/>
          <w:color w:val="auto"/>
          <w:highlight w:val="none"/>
          <w:u w:val="single"/>
          <w:lang w:val="en-US" w:eastAsia="zh-CN"/>
        </w:rPr>
        <w:t>城市发展集团</w:t>
      </w:r>
      <w:r>
        <w:rPr>
          <w:rFonts w:hint="eastAsia" w:ascii="宋体" w:hAnsi="宋体"/>
          <w:b w:val="0"/>
          <w:bCs w:val="0"/>
          <w:color w:val="auto"/>
          <w:highlight w:val="none"/>
          <w:u w:val="single"/>
          <w:lang w:eastAsia="zh-CN"/>
        </w:rPr>
        <w:t>有限公司纪检监察室</w:t>
      </w:r>
      <w:r>
        <w:rPr>
          <w:rFonts w:hint="eastAsia" w:ascii="宋体" w:hAnsi="宋体"/>
          <w:b w:val="0"/>
          <w:bCs w:val="0"/>
          <w:color w:val="auto"/>
          <w:highlight w:val="none"/>
          <w:u w:val="none"/>
        </w:rPr>
        <w:t>监督</w:t>
      </w:r>
      <w:r>
        <w:rPr>
          <w:rFonts w:hint="eastAsia" w:ascii="宋体" w:hAnsi="宋体"/>
          <w:b w:val="0"/>
          <w:bCs w:val="0"/>
          <w:color w:val="auto"/>
          <w:highlight w:val="none"/>
        </w:rPr>
        <w:t>。</w:t>
      </w:r>
      <w:r>
        <w:rPr>
          <w:rFonts w:hint="eastAsia" w:ascii="宋体" w:hAnsi="宋体"/>
          <w:b w:val="0"/>
          <w:bCs w:val="0"/>
          <w:color w:val="auto"/>
          <w:highlight w:val="none"/>
          <w:lang w:val="en-US" w:eastAsia="zh-CN"/>
        </w:rPr>
        <w:t xml:space="preserve">      </w:t>
      </w:r>
      <w:r>
        <w:rPr>
          <w:rFonts w:hint="eastAsia" w:ascii="宋体" w:hAnsi="宋体"/>
          <w:color w:val="auto"/>
          <w:highlight w:val="none"/>
        </w:rPr>
        <w:t>电话</w:t>
      </w:r>
      <w:r>
        <w:rPr>
          <w:rFonts w:hint="eastAsia" w:ascii="宋体" w:hAnsi="宋体"/>
          <w:color w:val="auto"/>
          <w:highlight w:val="none"/>
          <w:lang w:eastAsia="zh-CN"/>
        </w:rPr>
        <w:t>：</w:t>
      </w:r>
      <w:r>
        <w:rPr>
          <w:rFonts w:hint="eastAsia" w:ascii="宋体" w:hAnsi="宋体"/>
          <w:color w:val="auto"/>
          <w:highlight w:val="none"/>
          <w:u w:val="single"/>
          <w:lang w:eastAsia="zh-CN"/>
        </w:rPr>
        <w:t>0731-89921373</w:t>
      </w:r>
    </w:p>
    <w:p w14:paraId="6891356D">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2D3A4FA4">
      <w:pPr>
        <w:spacing w:line="520" w:lineRule="exact"/>
        <w:jc w:val="center"/>
        <w:outlineLvl w:val="0"/>
        <w:rPr>
          <w:rFonts w:ascii="宋体" w:hAnsi="宋体"/>
          <w:b/>
          <w:color w:val="auto"/>
          <w:sz w:val="32"/>
          <w:szCs w:val="32"/>
          <w:highlight w:val="none"/>
        </w:rPr>
      </w:pPr>
      <w:r>
        <w:rPr>
          <w:rFonts w:hint="eastAsia" w:ascii="宋体" w:hAnsi="宋体"/>
          <w:b/>
          <w:color w:val="auto"/>
          <w:sz w:val="32"/>
          <w:szCs w:val="32"/>
          <w:highlight w:val="none"/>
        </w:rPr>
        <w:t>第二章</w:t>
      </w:r>
      <w:r>
        <w:rPr>
          <w:rFonts w:ascii="宋体" w:hAnsi="宋体"/>
          <w:b/>
          <w:color w:val="auto"/>
          <w:sz w:val="32"/>
          <w:szCs w:val="32"/>
          <w:highlight w:val="none"/>
        </w:rPr>
        <w:t xml:space="preserve"> </w:t>
      </w:r>
      <w:r>
        <w:rPr>
          <w:rFonts w:hint="eastAsia" w:ascii="宋体" w:hAnsi="宋体"/>
          <w:b/>
          <w:color w:val="auto"/>
          <w:sz w:val="32"/>
          <w:szCs w:val="32"/>
          <w:highlight w:val="none"/>
        </w:rPr>
        <w:t>磋商须知</w:t>
      </w:r>
    </w:p>
    <w:p w14:paraId="53E89E30">
      <w:pPr>
        <w:spacing w:line="520" w:lineRule="exact"/>
        <w:outlineLvl w:val="1"/>
        <w:rPr>
          <w:rFonts w:ascii="宋体" w:hAnsi="宋体"/>
          <w:b/>
          <w:color w:val="auto"/>
          <w:sz w:val="24"/>
          <w:highlight w:val="none"/>
        </w:rPr>
      </w:pPr>
      <w:r>
        <w:rPr>
          <w:rFonts w:hint="eastAsia" w:ascii="宋体" w:hAnsi="宋体"/>
          <w:b/>
          <w:color w:val="auto"/>
          <w:sz w:val="24"/>
          <w:highlight w:val="none"/>
        </w:rPr>
        <w:t>磋商须知前附表</w:t>
      </w:r>
    </w:p>
    <w:p w14:paraId="21A98FC0">
      <w:pPr>
        <w:spacing w:line="520" w:lineRule="exact"/>
        <w:rPr>
          <w:rFonts w:ascii="宋体" w:hAnsi="宋体"/>
          <w:color w:val="auto"/>
          <w:highlight w:val="none"/>
        </w:rPr>
      </w:pPr>
      <w:r>
        <w:rPr>
          <w:rFonts w:hint="eastAsia" w:ascii="宋体" w:hAnsi="宋体"/>
          <w:color w:val="auto"/>
          <w:highlight w:val="none"/>
        </w:rPr>
        <w:t>注：</w:t>
      </w:r>
      <w:r>
        <w:rPr>
          <w:rFonts w:ascii="宋体" w:hAnsi="宋体"/>
          <w:color w:val="auto"/>
          <w:highlight w:val="none"/>
        </w:rPr>
        <w:t xml:space="preserve"> </w:t>
      </w:r>
      <w:r>
        <w:rPr>
          <w:rFonts w:hint="eastAsia" w:ascii="宋体" w:hAnsi="宋体"/>
          <w:color w:val="auto"/>
          <w:highlight w:val="none"/>
        </w:rPr>
        <w:t>请在方框□内划√选择，在“条款号”内限选一项。（本项目采用的条款用“■”标示）</w:t>
      </w:r>
    </w:p>
    <w:tbl>
      <w:tblPr>
        <w:tblStyle w:val="2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44"/>
        <w:gridCol w:w="1985"/>
        <w:gridCol w:w="5162"/>
      </w:tblGrid>
      <w:tr w14:paraId="0276B6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1844" w:type="dxa"/>
            <w:tcBorders>
              <w:top w:val="double" w:color="auto" w:sz="4" w:space="0"/>
            </w:tcBorders>
            <w:vAlign w:val="center"/>
          </w:tcPr>
          <w:p w14:paraId="4BDCD65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b/>
                <w:color w:val="auto"/>
                <w:szCs w:val="21"/>
                <w:highlight w:val="none"/>
              </w:rPr>
            </w:pPr>
            <w:r>
              <w:rPr>
                <w:rFonts w:hint="eastAsia" w:ascii="宋体" w:hAnsi="宋体"/>
                <w:b/>
                <w:color w:val="auto"/>
                <w:szCs w:val="21"/>
                <w:highlight w:val="none"/>
              </w:rPr>
              <w:t>条款号</w:t>
            </w:r>
          </w:p>
        </w:tc>
        <w:tc>
          <w:tcPr>
            <w:tcW w:w="1985" w:type="dxa"/>
            <w:tcBorders>
              <w:top w:val="double" w:color="auto" w:sz="4" w:space="0"/>
            </w:tcBorders>
            <w:vAlign w:val="center"/>
          </w:tcPr>
          <w:p w14:paraId="2BE7F81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b/>
                <w:color w:val="auto"/>
                <w:szCs w:val="21"/>
                <w:highlight w:val="none"/>
              </w:rPr>
            </w:pPr>
            <w:r>
              <w:rPr>
                <w:rFonts w:hint="eastAsia" w:ascii="宋体" w:hAnsi="宋体"/>
                <w:b/>
                <w:color w:val="auto"/>
                <w:szCs w:val="21"/>
                <w:highlight w:val="none"/>
              </w:rPr>
              <w:t>条款名称</w:t>
            </w:r>
          </w:p>
        </w:tc>
        <w:tc>
          <w:tcPr>
            <w:tcW w:w="5162" w:type="dxa"/>
            <w:tcBorders>
              <w:top w:val="double" w:color="auto" w:sz="4" w:space="0"/>
            </w:tcBorders>
            <w:vAlign w:val="center"/>
          </w:tcPr>
          <w:p w14:paraId="0D93A8B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b/>
                <w:color w:val="auto"/>
                <w:szCs w:val="21"/>
                <w:highlight w:val="none"/>
              </w:rPr>
            </w:pPr>
            <w:r>
              <w:rPr>
                <w:rFonts w:hint="eastAsia" w:ascii="宋体" w:hAnsi="宋体"/>
                <w:b/>
                <w:color w:val="auto"/>
                <w:szCs w:val="21"/>
                <w:highlight w:val="none"/>
              </w:rPr>
              <w:t>编列内容规定</w:t>
            </w:r>
          </w:p>
        </w:tc>
      </w:tr>
      <w:tr w14:paraId="60EDA5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991" w:type="dxa"/>
            <w:gridSpan w:val="3"/>
            <w:vAlign w:val="center"/>
          </w:tcPr>
          <w:p w14:paraId="00E8BFF0">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b/>
                <w:color w:val="auto"/>
                <w:szCs w:val="21"/>
                <w:highlight w:val="none"/>
              </w:rPr>
              <w:t>一、说明</w:t>
            </w:r>
          </w:p>
        </w:tc>
      </w:tr>
      <w:tr w14:paraId="7DD8A0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643499A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1.1</w:t>
            </w:r>
            <w:r>
              <w:rPr>
                <w:rFonts w:hint="eastAsia" w:ascii="宋体" w:hAnsi="宋体"/>
                <w:color w:val="auto"/>
                <w:szCs w:val="21"/>
                <w:highlight w:val="none"/>
              </w:rPr>
              <w:t>款</w:t>
            </w:r>
          </w:p>
        </w:tc>
        <w:tc>
          <w:tcPr>
            <w:tcW w:w="1985" w:type="dxa"/>
            <w:vAlign w:val="center"/>
          </w:tcPr>
          <w:p w14:paraId="1ED9D6CC">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采购项目</w:t>
            </w:r>
          </w:p>
        </w:tc>
        <w:tc>
          <w:tcPr>
            <w:tcW w:w="5162" w:type="dxa"/>
            <w:vAlign w:val="center"/>
          </w:tcPr>
          <w:p w14:paraId="4D6E54E9">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芙蓉生态新城六号安置小区东地块（一期）外墙防水工程</w:t>
            </w:r>
          </w:p>
        </w:tc>
      </w:tr>
      <w:tr w14:paraId="283F31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42BF73B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2.1</w:t>
            </w:r>
            <w:r>
              <w:rPr>
                <w:rFonts w:hint="eastAsia" w:ascii="宋体" w:hAnsi="宋体"/>
                <w:color w:val="auto"/>
                <w:szCs w:val="21"/>
                <w:highlight w:val="none"/>
              </w:rPr>
              <w:t>款</w:t>
            </w:r>
          </w:p>
        </w:tc>
        <w:tc>
          <w:tcPr>
            <w:tcW w:w="1985" w:type="dxa"/>
            <w:vAlign w:val="center"/>
          </w:tcPr>
          <w:p w14:paraId="576F04C1">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采购人</w:t>
            </w:r>
          </w:p>
        </w:tc>
        <w:tc>
          <w:tcPr>
            <w:tcW w:w="5162" w:type="dxa"/>
            <w:vAlign w:val="center"/>
          </w:tcPr>
          <w:p w14:paraId="3E9ADCA8">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highlight w:val="none"/>
              </w:rPr>
            </w:pPr>
            <w:r>
              <w:rPr>
                <w:rFonts w:hint="eastAsia" w:ascii="宋体" w:hAnsi="宋体"/>
                <w:color w:val="auto"/>
                <w:highlight w:val="none"/>
              </w:rPr>
              <w:t>名</w:t>
            </w:r>
            <w:r>
              <w:rPr>
                <w:rFonts w:ascii="宋体" w:hAnsi="宋体"/>
                <w:color w:val="auto"/>
                <w:highlight w:val="none"/>
              </w:rPr>
              <w:t xml:space="preserve">  </w:t>
            </w:r>
            <w:r>
              <w:rPr>
                <w:rFonts w:hint="eastAsia" w:ascii="宋体" w:hAnsi="宋体"/>
                <w:color w:val="auto"/>
                <w:highlight w:val="none"/>
              </w:rPr>
              <w:t>称：</w:t>
            </w:r>
            <w:r>
              <w:rPr>
                <w:rFonts w:hint="eastAsia" w:ascii="宋体" w:hAnsi="宋体"/>
                <w:color w:val="auto"/>
                <w:highlight w:val="none"/>
                <w:lang w:eastAsia="zh-CN"/>
              </w:rPr>
              <w:t xml:space="preserve">长沙芙蓉新城置业有限公司  </w:t>
            </w:r>
            <w:r>
              <w:rPr>
                <w:rFonts w:ascii="宋体" w:hAnsi="宋体"/>
                <w:color w:val="auto"/>
                <w:highlight w:val="none"/>
              </w:rPr>
              <w:t xml:space="preserve"> </w:t>
            </w:r>
          </w:p>
          <w:p w14:paraId="7C204FA2">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default" w:ascii="宋体" w:hAnsi="宋体" w:eastAsia="宋体"/>
                <w:color w:val="auto"/>
                <w:highlight w:val="none"/>
                <w:lang w:val="en-US" w:eastAsia="zh-CN"/>
              </w:rPr>
            </w:pPr>
            <w:r>
              <w:rPr>
                <w:rFonts w:hint="eastAsia" w:ascii="宋体" w:hAnsi="宋体"/>
                <w:color w:val="auto"/>
                <w:highlight w:val="none"/>
              </w:rPr>
              <w:t>联系人：</w:t>
            </w:r>
            <w:r>
              <w:rPr>
                <w:rFonts w:hint="eastAsia" w:ascii="宋体" w:hAnsi="宋体"/>
                <w:color w:val="auto"/>
                <w:highlight w:val="none"/>
                <w:lang w:val="en-US" w:eastAsia="zh-CN"/>
              </w:rPr>
              <w:t>杨先生</w:t>
            </w:r>
          </w:p>
          <w:p w14:paraId="4B1F9149">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default" w:ascii="宋体" w:hAnsi="宋体" w:eastAsia="宋体"/>
                <w:color w:val="auto"/>
                <w:highlight w:val="none"/>
                <w:lang w:val="en-US" w:eastAsia="zh-CN"/>
              </w:rPr>
            </w:pPr>
            <w:r>
              <w:rPr>
                <w:rFonts w:hint="eastAsia" w:ascii="宋体" w:hAnsi="宋体"/>
                <w:color w:val="auto"/>
                <w:highlight w:val="none"/>
              </w:rPr>
              <w:t>电</w:t>
            </w:r>
            <w:r>
              <w:rPr>
                <w:rFonts w:ascii="宋体" w:hAnsi="宋体"/>
                <w:color w:val="auto"/>
                <w:highlight w:val="none"/>
              </w:rPr>
              <w:t xml:space="preserve">  </w:t>
            </w:r>
            <w:r>
              <w:rPr>
                <w:rFonts w:hint="eastAsia" w:ascii="宋体" w:hAnsi="宋体"/>
                <w:color w:val="auto"/>
                <w:highlight w:val="none"/>
              </w:rPr>
              <w:t>话：</w:t>
            </w:r>
            <w:r>
              <w:rPr>
                <w:rFonts w:hint="eastAsia" w:ascii="宋体" w:hAnsi="宋体"/>
                <w:color w:val="auto"/>
                <w:highlight w:val="none"/>
                <w:lang w:val="en-US" w:eastAsia="zh-CN"/>
              </w:rPr>
              <w:t>0731-82191861</w:t>
            </w:r>
          </w:p>
          <w:p w14:paraId="02544D74">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olor w:val="auto"/>
                <w:highlight w:val="none"/>
                <w:lang w:eastAsia="zh-CN"/>
              </w:rPr>
            </w:pPr>
            <w:r>
              <w:rPr>
                <w:rFonts w:hint="eastAsia" w:ascii="宋体" w:hAnsi="宋体"/>
                <w:color w:val="auto"/>
                <w:highlight w:val="none"/>
              </w:rPr>
              <w:t>地</w:t>
            </w:r>
            <w:r>
              <w:rPr>
                <w:rFonts w:hint="eastAsia" w:ascii="宋体" w:hAnsi="宋体"/>
                <w:color w:val="auto"/>
                <w:highlight w:val="none"/>
                <w:lang w:val="en-US" w:eastAsia="zh-CN"/>
              </w:rPr>
              <w:t xml:space="preserve">  </w:t>
            </w:r>
            <w:r>
              <w:rPr>
                <w:rFonts w:hint="eastAsia" w:ascii="宋体" w:hAnsi="宋体"/>
                <w:color w:val="auto"/>
                <w:highlight w:val="none"/>
              </w:rPr>
              <w:t>址：</w:t>
            </w:r>
            <w:r>
              <w:rPr>
                <w:rFonts w:hint="eastAsia" w:ascii="宋体" w:hAnsi="宋体"/>
                <w:color w:val="auto"/>
                <w:highlight w:val="none"/>
                <w:lang w:eastAsia="zh-CN"/>
              </w:rPr>
              <w:t>长沙市芙蓉区浏阳河大道588号红橡华园17</w:t>
            </w:r>
            <w:r>
              <w:rPr>
                <w:rFonts w:hint="eastAsia" w:ascii="宋体" w:hAnsi="宋体"/>
                <w:color w:val="auto"/>
                <w:highlight w:val="none"/>
                <w:lang w:val="en-US" w:eastAsia="zh-CN"/>
              </w:rPr>
              <w:t>楼</w:t>
            </w:r>
          </w:p>
        </w:tc>
      </w:tr>
      <w:tr w14:paraId="106FFB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5465FAC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2.2</w:t>
            </w:r>
            <w:r>
              <w:rPr>
                <w:rFonts w:hint="eastAsia" w:ascii="宋体" w:hAnsi="宋体"/>
                <w:color w:val="auto"/>
                <w:szCs w:val="21"/>
                <w:highlight w:val="none"/>
              </w:rPr>
              <w:t>款</w:t>
            </w:r>
          </w:p>
        </w:tc>
        <w:tc>
          <w:tcPr>
            <w:tcW w:w="1985" w:type="dxa"/>
            <w:vAlign w:val="center"/>
          </w:tcPr>
          <w:p w14:paraId="5C4FACC6">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采购代理机构</w:t>
            </w:r>
          </w:p>
        </w:tc>
        <w:tc>
          <w:tcPr>
            <w:tcW w:w="5162" w:type="dxa"/>
            <w:vAlign w:val="center"/>
          </w:tcPr>
          <w:p w14:paraId="3E340447">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名 </w:t>
            </w:r>
            <w:r>
              <w:rPr>
                <w:rFonts w:hint="eastAsia" w:ascii="宋体" w:hAnsi="宋体" w:eastAsia="宋体" w:cs="Times New Roman"/>
                <w:color w:val="auto"/>
                <w:highlight w:val="none"/>
                <w:lang w:val="en-US" w:eastAsia="zh-CN"/>
              </w:rPr>
              <w:t xml:space="preserve"> </w:t>
            </w:r>
            <w:r>
              <w:rPr>
                <w:rFonts w:hint="eastAsia" w:ascii="宋体" w:hAnsi="宋体" w:eastAsia="宋体" w:cs="Times New Roman"/>
                <w:color w:val="auto"/>
                <w:highlight w:val="none"/>
              </w:rPr>
              <w:t>称</w:t>
            </w:r>
            <w:r>
              <w:rPr>
                <w:rFonts w:hint="eastAsia" w:ascii="宋体" w:hAnsi="宋体" w:cs="Times New Roman"/>
                <w:color w:val="auto"/>
                <w:highlight w:val="none"/>
                <w:lang w:eastAsia="zh-CN"/>
              </w:rPr>
              <w:t xml:space="preserve">：湖南金瑞项目管理有限公司 </w:t>
            </w:r>
            <w:r>
              <w:rPr>
                <w:rFonts w:hint="eastAsia" w:ascii="宋体" w:hAnsi="宋体" w:eastAsia="宋体" w:cs="Times New Roman"/>
                <w:color w:val="auto"/>
                <w:highlight w:val="none"/>
                <w:lang w:eastAsia="zh-CN"/>
              </w:rPr>
              <w:t xml:space="preserve">  </w:t>
            </w:r>
            <w:r>
              <w:rPr>
                <w:rFonts w:hint="eastAsia" w:ascii="宋体" w:hAnsi="宋体" w:eastAsia="宋体" w:cs="Times New Roman"/>
                <w:color w:val="auto"/>
                <w:highlight w:val="none"/>
              </w:rPr>
              <w:t xml:space="preserve"> </w:t>
            </w:r>
          </w:p>
          <w:p w14:paraId="1FD58CFD">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cs="Times New Roman"/>
                <w:color w:val="auto"/>
                <w:highlight w:val="none"/>
                <w:lang w:val="en-US" w:eastAsia="zh-CN"/>
              </w:rPr>
            </w:pPr>
            <w:r>
              <w:rPr>
                <w:rFonts w:hint="eastAsia" w:ascii="宋体" w:hAnsi="宋体" w:eastAsia="宋体" w:cs="Times New Roman"/>
                <w:color w:val="auto"/>
                <w:highlight w:val="none"/>
              </w:rPr>
              <w:t>地  址</w:t>
            </w:r>
            <w:r>
              <w:rPr>
                <w:rFonts w:hint="eastAsia" w:ascii="宋体" w:hAnsi="宋体" w:cs="Times New Roman"/>
                <w:color w:val="auto"/>
                <w:highlight w:val="none"/>
                <w:lang w:eastAsia="zh-CN"/>
              </w:rPr>
              <w:t>：</w:t>
            </w:r>
            <w:r>
              <w:rPr>
                <w:rFonts w:hint="eastAsia" w:ascii="宋体" w:hAnsi="宋体" w:cs="Times New Roman"/>
                <w:color w:val="auto"/>
                <w:highlight w:val="none"/>
                <w:lang w:val="en-US" w:eastAsia="zh-CN"/>
              </w:rPr>
              <w:t>湖南省长沙市长沙县人民东路二段169号长沙铭诚绿谷智慧产业园15栋401</w:t>
            </w:r>
          </w:p>
          <w:p w14:paraId="64C039A0">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rPr>
              <w:t>联系人：</w:t>
            </w:r>
            <w:r>
              <w:rPr>
                <w:rFonts w:hint="eastAsia" w:ascii="宋体" w:hAnsi="宋体" w:cs="Times New Roman"/>
                <w:color w:val="auto"/>
                <w:highlight w:val="none"/>
                <w:lang w:val="en-US" w:eastAsia="zh-CN"/>
              </w:rPr>
              <w:t>周权（项目负责人）、廖丽</w:t>
            </w:r>
          </w:p>
          <w:p w14:paraId="3A0E5FDA">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olor w:val="auto"/>
                <w:szCs w:val="21"/>
                <w:highlight w:val="none"/>
                <w:lang w:val="en-US" w:eastAsia="zh-CN"/>
              </w:rPr>
            </w:pPr>
            <w:r>
              <w:rPr>
                <w:rFonts w:hint="eastAsia" w:ascii="宋体" w:hAnsi="宋体" w:eastAsia="宋体" w:cs="Times New Roman"/>
                <w:color w:val="auto"/>
                <w:highlight w:val="none"/>
              </w:rPr>
              <w:t>电  话：</w:t>
            </w:r>
            <w:r>
              <w:rPr>
                <w:rFonts w:hint="eastAsia" w:ascii="宋体" w:hAnsi="宋体" w:eastAsia="宋体" w:cs="Times New Roman"/>
                <w:color w:val="auto"/>
                <w:highlight w:val="none"/>
                <w:lang w:eastAsia="zh-CN"/>
              </w:rPr>
              <w:t>0731-82041912</w:t>
            </w:r>
          </w:p>
        </w:tc>
      </w:tr>
      <w:tr w14:paraId="6BCB27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27681B0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2.3</w:t>
            </w:r>
            <w:r>
              <w:rPr>
                <w:rFonts w:hint="eastAsia" w:ascii="宋体" w:hAnsi="宋体"/>
                <w:color w:val="auto"/>
                <w:szCs w:val="21"/>
                <w:highlight w:val="none"/>
              </w:rPr>
              <w:t>款</w:t>
            </w:r>
          </w:p>
        </w:tc>
        <w:tc>
          <w:tcPr>
            <w:tcW w:w="1985" w:type="dxa"/>
            <w:vAlign w:val="center"/>
          </w:tcPr>
          <w:p w14:paraId="092485CB">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bCs/>
                <w:color w:val="auto"/>
                <w:szCs w:val="21"/>
                <w:highlight w:val="none"/>
              </w:rPr>
            </w:pPr>
            <w:r>
              <w:rPr>
                <w:rFonts w:hint="eastAsia" w:ascii="宋体" w:hAnsi="宋体" w:cs="宋体"/>
                <w:color w:val="auto"/>
                <w:kern w:val="0"/>
                <w:szCs w:val="21"/>
                <w:highlight w:val="none"/>
              </w:rPr>
              <w:t>供应商的</w:t>
            </w:r>
            <w:r>
              <w:rPr>
                <w:rFonts w:hint="eastAsia" w:ascii="宋体" w:hAnsi="宋体"/>
                <w:color w:val="auto"/>
                <w:szCs w:val="21"/>
                <w:highlight w:val="none"/>
              </w:rPr>
              <w:t>邀请方式</w:t>
            </w:r>
          </w:p>
        </w:tc>
        <w:tc>
          <w:tcPr>
            <w:tcW w:w="5162" w:type="dxa"/>
            <w:vAlign w:val="center"/>
          </w:tcPr>
          <w:p w14:paraId="08DF5FC6">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 xml:space="preserve"> </w:t>
            </w:r>
            <w:r>
              <w:rPr>
                <w:rFonts w:hint="eastAsia" w:ascii="宋体" w:hAnsi="宋体"/>
                <w:color w:val="auto"/>
                <w:szCs w:val="21"/>
                <w:highlight w:val="none"/>
              </w:rPr>
              <w:t>发布公告</w:t>
            </w:r>
          </w:p>
          <w:p w14:paraId="270F782F">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 xml:space="preserve"> </w:t>
            </w:r>
            <w:r>
              <w:rPr>
                <w:rFonts w:hint="eastAsia" w:ascii="宋体" w:hAnsi="宋体"/>
                <w:color w:val="auto"/>
                <w:szCs w:val="21"/>
                <w:highlight w:val="none"/>
              </w:rPr>
              <w:t>从省级以上财政部门建立的供应商库中随机抽取</w:t>
            </w:r>
          </w:p>
          <w:p w14:paraId="5C27E03B">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□采购人和评审专家分别书面推荐的方式</w:t>
            </w:r>
          </w:p>
        </w:tc>
      </w:tr>
      <w:tr w14:paraId="018EA3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3E9CDA1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3.1</w:t>
            </w:r>
            <w:r>
              <w:rPr>
                <w:rFonts w:hint="eastAsia" w:ascii="宋体" w:hAnsi="宋体"/>
                <w:color w:val="auto"/>
                <w:szCs w:val="21"/>
                <w:highlight w:val="none"/>
              </w:rPr>
              <w:t>款</w:t>
            </w:r>
          </w:p>
          <w:p w14:paraId="68A221E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p>
        </w:tc>
        <w:tc>
          <w:tcPr>
            <w:tcW w:w="1985" w:type="dxa"/>
            <w:vAlign w:val="center"/>
          </w:tcPr>
          <w:p w14:paraId="4E0B0B18">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bCs/>
                <w:color w:val="auto"/>
                <w:szCs w:val="21"/>
                <w:highlight w:val="none"/>
              </w:rPr>
              <w:t>供应商</w:t>
            </w:r>
            <w:r>
              <w:rPr>
                <w:rFonts w:hint="eastAsia" w:ascii="宋体" w:hAnsi="宋体"/>
                <w:color w:val="auto"/>
                <w:szCs w:val="21"/>
                <w:highlight w:val="none"/>
              </w:rPr>
              <w:t>资格条件</w:t>
            </w:r>
          </w:p>
          <w:p w14:paraId="1DB8FA48">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p>
        </w:tc>
        <w:tc>
          <w:tcPr>
            <w:tcW w:w="5162" w:type="dxa"/>
            <w:vAlign w:val="center"/>
          </w:tcPr>
          <w:p w14:paraId="689336FC">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cs="宋体"/>
                <w:color w:val="auto"/>
                <w:szCs w:val="21"/>
                <w:highlight w:val="none"/>
              </w:rPr>
            </w:pPr>
            <w:r>
              <w:rPr>
                <w:rFonts w:ascii="宋体" w:hAnsi="宋体" w:cs="宋体"/>
                <w:color w:val="auto"/>
                <w:szCs w:val="21"/>
                <w:highlight w:val="none"/>
              </w:rPr>
              <w:t>1、供应商的基本资格条件：</w:t>
            </w:r>
            <w:r>
              <w:rPr>
                <w:rFonts w:hint="eastAsia" w:ascii="宋体" w:hAnsi="宋体" w:cs="宋体"/>
                <w:color w:val="auto"/>
                <w:szCs w:val="21"/>
                <w:highlight w:val="none"/>
              </w:rPr>
              <w:t>满足《中华人民共和国政府采购法》第二十二条规定，并提供以下资格证明文件：</w:t>
            </w:r>
          </w:p>
          <w:p w14:paraId="5FC4A7D9">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（1）法人提交企业法人营业执照副本(或者法人登记证书)；</w:t>
            </w:r>
          </w:p>
          <w:p w14:paraId="67B5B794">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（2）法人提交法定代表人身份证明原件或者法定代表人授权委托书原件并附法定代表人身份证明原件；自然人提交身份证明复印件；</w:t>
            </w:r>
          </w:p>
          <w:p w14:paraId="668B413C">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（3）提供《湖南省政府采购供应商资格承诺函》（格式详见响应文件组成部分）；</w:t>
            </w:r>
          </w:p>
          <w:p w14:paraId="7EA93788">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s="宋体"/>
                <w:color w:val="auto"/>
                <w:szCs w:val="21"/>
                <w:highlight w:val="none"/>
              </w:rPr>
            </w:pPr>
            <w:r>
              <w:rPr>
                <w:rFonts w:ascii="宋体" w:hAnsi="宋体" w:cs="宋体"/>
                <w:color w:val="auto"/>
                <w:szCs w:val="21"/>
                <w:highlight w:val="none"/>
              </w:rPr>
              <w:t>2、供应商特定资格条件：</w:t>
            </w:r>
          </w:p>
          <w:p w14:paraId="707838CB">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b w:val="0"/>
                <w:bCs w:val="0"/>
                <w:color w:val="auto"/>
                <w:highlight w:val="none"/>
              </w:rPr>
            </w:pPr>
            <w:r>
              <w:rPr>
                <w:rFonts w:hint="eastAsia" w:ascii="宋体" w:hAnsi="宋体" w:cs="宋体"/>
                <w:b w:val="0"/>
                <w:bCs w:val="0"/>
                <w:color w:val="auto"/>
                <w:highlight w:val="none"/>
                <w:lang w:val="en-US" w:eastAsia="zh-CN"/>
              </w:rPr>
              <w:t>2.1</w:t>
            </w:r>
            <w:r>
              <w:rPr>
                <w:rFonts w:hint="eastAsia" w:ascii="宋体" w:hAnsi="宋体" w:cs="宋体"/>
                <w:b w:val="0"/>
                <w:bCs w:val="0"/>
                <w:color w:val="auto"/>
                <w:highlight w:val="none"/>
                <w:lang w:eastAsia="zh-CN"/>
              </w:rPr>
              <w:t>湖南省外企业须按照湘建建【2015】190号文件要求办理省外入湘企业基本情况登记（以“湖南省住房和城乡建设网”查询为准）或具有入湘施工登记证（处于有效期内）</w:t>
            </w:r>
            <w:r>
              <w:rPr>
                <w:rFonts w:hint="eastAsia" w:ascii="宋体" w:hAnsi="宋体" w:cs="宋体"/>
                <w:b w:val="0"/>
                <w:bCs w:val="0"/>
                <w:color w:val="auto"/>
                <w:highlight w:val="none"/>
              </w:rPr>
              <w:t>；</w:t>
            </w:r>
          </w:p>
          <w:p w14:paraId="565B64F1">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cs="宋体"/>
                <w:b w:val="0"/>
                <w:bCs w:val="0"/>
                <w:color w:val="auto"/>
                <w:highlight w:val="none"/>
                <w:lang w:val="en-US" w:eastAsia="zh-CN"/>
              </w:rPr>
            </w:pPr>
            <w:r>
              <w:rPr>
                <w:rFonts w:hint="eastAsia" w:ascii="宋体" w:hAnsi="宋体" w:cs="宋体"/>
                <w:b w:val="0"/>
                <w:bCs w:val="0"/>
                <w:color w:val="auto"/>
                <w:highlight w:val="none"/>
                <w:lang w:val="en-US" w:eastAsia="zh-CN"/>
              </w:rPr>
              <w:t>2.2供应商须具备住房城乡建设主管部门颁发的防水防腐保温工程专业承包一级资质，资质证书处于有效期内；</w:t>
            </w:r>
          </w:p>
          <w:p w14:paraId="4343FE1A">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s="宋体"/>
                <w:color w:val="auto"/>
                <w:szCs w:val="21"/>
                <w:highlight w:val="none"/>
              </w:rPr>
            </w:pPr>
            <w:r>
              <w:rPr>
                <w:rFonts w:ascii="宋体" w:hAnsi="宋体" w:cs="宋体"/>
                <w:color w:val="auto"/>
                <w:szCs w:val="21"/>
                <w:highlight w:val="none"/>
              </w:rPr>
              <w:t>3、单位负责人为同一人或者存在直接控股、管理关系的不同供应商，不得参加同一合同项下的政府采购活动。</w:t>
            </w:r>
          </w:p>
          <w:p w14:paraId="4CAA1400">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s="宋体"/>
                <w:color w:val="auto"/>
                <w:szCs w:val="21"/>
                <w:highlight w:val="none"/>
              </w:rPr>
            </w:pPr>
            <w:r>
              <w:rPr>
                <w:rFonts w:ascii="宋体" w:hAnsi="宋体" w:cs="宋体"/>
                <w:color w:val="auto"/>
                <w:szCs w:val="21"/>
                <w:highlight w:val="none"/>
              </w:rPr>
              <w:t>4、为本采购项目提供整体设计、规范编制或者项目管理、监理、检测等服务的，不得再参加此项目的其他招标采购活动。</w:t>
            </w:r>
          </w:p>
          <w:p w14:paraId="23D90B30">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s="宋体"/>
                <w:color w:val="auto"/>
                <w:szCs w:val="21"/>
                <w:highlight w:val="none"/>
              </w:rPr>
            </w:pPr>
            <w:r>
              <w:rPr>
                <w:rFonts w:ascii="宋体" w:hAnsi="宋体" w:cs="宋体"/>
                <w:color w:val="auto"/>
                <w:szCs w:val="21"/>
                <w:highlight w:val="none"/>
              </w:rPr>
              <w:t>5、列入失信被执行人、重大税收违法案件当事人名单，列入政府采购严重违法失信行为记录名单的，拒绝其参与政府采购活动。</w:t>
            </w:r>
          </w:p>
          <w:p w14:paraId="50F0C102">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s="宋体"/>
                <w:color w:val="auto"/>
                <w:szCs w:val="21"/>
                <w:highlight w:val="none"/>
              </w:rPr>
            </w:pPr>
            <w:r>
              <w:rPr>
                <w:rFonts w:ascii="宋体" w:hAnsi="宋体" w:cs="宋体"/>
                <w:color w:val="auto"/>
                <w:szCs w:val="21"/>
                <w:highlight w:val="none"/>
              </w:rPr>
              <w:t>6、本次磋商</w:t>
            </w:r>
            <w:r>
              <w:rPr>
                <w:rFonts w:ascii="宋体" w:hAnsi="宋体" w:cs="宋体"/>
                <w:b/>
                <w:bCs/>
                <w:color w:val="auto"/>
                <w:szCs w:val="21"/>
                <w:highlight w:val="none"/>
                <w:u w:val="single"/>
              </w:rPr>
              <w:t>不接受</w:t>
            </w:r>
            <w:r>
              <w:rPr>
                <w:rFonts w:hint="eastAsia" w:ascii="宋体" w:hAnsi="宋体" w:cs="宋体"/>
                <w:color w:val="auto"/>
                <w:szCs w:val="21"/>
                <w:highlight w:val="none"/>
              </w:rPr>
              <w:t>联合体投标</w:t>
            </w:r>
            <w:r>
              <w:rPr>
                <w:rFonts w:ascii="宋体" w:hAnsi="宋体" w:cs="宋体"/>
                <w:color w:val="auto"/>
                <w:szCs w:val="21"/>
                <w:highlight w:val="none"/>
              </w:rPr>
              <w:t xml:space="preserve"> </w:t>
            </w:r>
            <w:r>
              <w:rPr>
                <w:rFonts w:hint="eastAsia" w:ascii="宋体" w:hAnsi="宋体" w:cs="宋体"/>
                <w:color w:val="auto"/>
                <w:szCs w:val="21"/>
                <w:highlight w:val="none"/>
              </w:rPr>
              <w:t>。</w:t>
            </w:r>
          </w:p>
          <w:p w14:paraId="7DF208E1">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0"/>
              <w:rPr>
                <w:rFonts w:ascii="宋体" w:hAnsi="宋体" w:cs="宋体"/>
                <w:color w:val="auto"/>
                <w:szCs w:val="21"/>
                <w:highlight w:val="none"/>
              </w:rPr>
            </w:pPr>
            <w:r>
              <w:rPr>
                <w:rFonts w:hint="eastAsia" w:ascii="宋体" w:hAnsi="宋体" w:cs="宋体"/>
                <w:color w:val="auto"/>
                <w:szCs w:val="21"/>
                <w:highlight w:val="none"/>
              </w:rPr>
              <w:t>注：（</w:t>
            </w:r>
            <w:r>
              <w:rPr>
                <w:rFonts w:ascii="宋体" w:hAnsi="宋体" w:cs="宋体"/>
                <w:color w:val="auto"/>
                <w:szCs w:val="21"/>
                <w:highlight w:val="none"/>
              </w:rPr>
              <w:t>1）</w:t>
            </w:r>
            <w:r>
              <w:rPr>
                <w:rFonts w:hint="eastAsia" w:ascii="宋体" w:hAnsi="宋体" w:cs="宋体"/>
                <w:color w:val="auto"/>
                <w:szCs w:val="21"/>
                <w:highlight w:val="none"/>
                <w:lang w:eastAsia="zh-CN"/>
              </w:rPr>
              <w:t>供应商</w:t>
            </w:r>
            <w:r>
              <w:rPr>
                <w:rFonts w:ascii="宋体" w:hAnsi="宋体" w:cs="宋体"/>
                <w:color w:val="auto"/>
                <w:szCs w:val="21"/>
                <w:highlight w:val="none"/>
              </w:rPr>
              <w:t>可按响应文件组成中格式提供《采购供应商资格承诺函》参与采购活动，除营业执照扫描件、法定代表人身份证明、法定代表人授权委托书（附法定代表人身份证明）及特定资格条件外，无需再提供财务状况报告、依法缴纳税收和社会保障资金的相关材料、参加政府采购活动前3年内在经营活动中没有重大违法记录的书面声明。</w:t>
            </w:r>
          </w:p>
          <w:p w14:paraId="10AE1005">
            <w:pPr>
              <w:keepNext w:val="0"/>
              <w:keepLines w:val="0"/>
              <w:pageBreakBefore w:val="0"/>
              <w:widowControl w:val="0"/>
              <w:kinsoku/>
              <w:wordWrap/>
              <w:overflowPunct/>
              <w:topLinePunct w:val="0"/>
              <w:autoSpaceDE/>
              <w:autoSpaceDN/>
              <w:bidi w:val="0"/>
              <w:adjustRightInd w:val="0"/>
              <w:snapToGrid w:val="0"/>
              <w:spacing w:line="360" w:lineRule="exact"/>
              <w:textAlignment w:val="auto"/>
              <w:outlineLvl w:val="0"/>
              <w:rPr>
                <w:rFonts w:ascii="宋体" w:hAns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和税务登记证和社会保险登记证，符合基本资格条件的相关条款。供应商自行注明是“三证合一”或“五证合一”并承担相关法律责任。</w:t>
            </w:r>
          </w:p>
        </w:tc>
      </w:tr>
      <w:tr w14:paraId="33522A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3D6A119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6.1</w:t>
            </w:r>
            <w:r>
              <w:rPr>
                <w:rFonts w:hint="eastAsia" w:ascii="宋体" w:hAnsi="宋体"/>
                <w:color w:val="auto"/>
                <w:szCs w:val="21"/>
                <w:highlight w:val="none"/>
              </w:rPr>
              <w:t>款</w:t>
            </w:r>
          </w:p>
        </w:tc>
        <w:tc>
          <w:tcPr>
            <w:tcW w:w="1985" w:type="dxa"/>
            <w:vAlign w:val="center"/>
          </w:tcPr>
          <w:p w14:paraId="26D2377B">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联合体形式</w:t>
            </w:r>
          </w:p>
        </w:tc>
        <w:tc>
          <w:tcPr>
            <w:tcW w:w="5162" w:type="dxa"/>
            <w:vAlign w:val="center"/>
          </w:tcPr>
          <w:p w14:paraId="114023B4">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 xml:space="preserve"> </w:t>
            </w:r>
            <w:r>
              <w:rPr>
                <w:rFonts w:hint="eastAsia" w:ascii="宋体" w:hAnsi="宋体"/>
                <w:color w:val="auto"/>
                <w:szCs w:val="21"/>
                <w:highlight w:val="none"/>
              </w:rPr>
              <w:t>不接受</w:t>
            </w:r>
          </w:p>
          <w:p w14:paraId="3924E254">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 xml:space="preserve"> </w:t>
            </w:r>
            <w:r>
              <w:rPr>
                <w:rFonts w:hint="eastAsia" w:ascii="宋体" w:hAnsi="宋体"/>
                <w:color w:val="auto"/>
                <w:szCs w:val="21"/>
                <w:highlight w:val="none"/>
              </w:rPr>
              <w:t>接受</w:t>
            </w:r>
          </w:p>
        </w:tc>
      </w:tr>
      <w:tr w14:paraId="0BB13F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6772F5C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6.2</w:t>
            </w:r>
            <w:r>
              <w:rPr>
                <w:rFonts w:hint="eastAsia" w:ascii="宋体" w:hAnsi="宋体"/>
                <w:color w:val="auto"/>
                <w:szCs w:val="21"/>
                <w:highlight w:val="none"/>
              </w:rPr>
              <w:t>款</w:t>
            </w:r>
          </w:p>
        </w:tc>
        <w:tc>
          <w:tcPr>
            <w:tcW w:w="1985" w:type="dxa"/>
            <w:vAlign w:val="center"/>
          </w:tcPr>
          <w:p w14:paraId="70AB5D10">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对联合体各方的要求</w:t>
            </w:r>
          </w:p>
        </w:tc>
        <w:tc>
          <w:tcPr>
            <w:tcW w:w="5162" w:type="dxa"/>
            <w:vAlign w:val="center"/>
          </w:tcPr>
          <w:p w14:paraId="2F4F5899">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不允许联合体投标</w:t>
            </w:r>
          </w:p>
        </w:tc>
      </w:tr>
      <w:tr w14:paraId="343A2C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3410102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7.1</w:t>
            </w:r>
            <w:r>
              <w:rPr>
                <w:rFonts w:hint="eastAsia" w:ascii="宋体" w:hAnsi="宋体"/>
                <w:color w:val="auto"/>
                <w:szCs w:val="21"/>
                <w:highlight w:val="none"/>
              </w:rPr>
              <w:t>款</w:t>
            </w:r>
          </w:p>
        </w:tc>
        <w:tc>
          <w:tcPr>
            <w:tcW w:w="1985" w:type="dxa"/>
            <w:vAlign w:val="center"/>
          </w:tcPr>
          <w:p w14:paraId="2332C49E">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现场勘察</w:t>
            </w:r>
          </w:p>
        </w:tc>
        <w:tc>
          <w:tcPr>
            <w:tcW w:w="5162" w:type="dxa"/>
            <w:vAlign w:val="center"/>
          </w:tcPr>
          <w:p w14:paraId="64C8E711">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 xml:space="preserve"> </w:t>
            </w:r>
            <w:r>
              <w:rPr>
                <w:rFonts w:hint="eastAsia" w:ascii="宋体" w:hAnsi="宋体"/>
                <w:color w:val="auto"/>
                <w:szCs w:val="21"/>
                <w:highlight w:val="none"/>
              </w:rPr>
              <w:t>采购人不组织</w:t>
            </w:r>
          </w:p>
          <w:p w14:paraId="447A4433">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 xml:space="preserve"> </w:t>
            </w:r>
            <w:r>
              <w:rPr>
                <w:rFonts w:hint="eastAsia" w:ascii="宋体" w:hAnsi="宋体"/>
                <w:color w:val="auto"/>
                <w:szCs w:val="21"/>
                <w:highlight w:val="none"/>
              </w:rPr>
              <w:t>采购人组织，时间：</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ascii="宋体" w:hAnsi="宋体"/>
                <w:color w:val="auto"/>
                <w:szCs w:val="21"/>
                <w:highlight w:val="none"/>
                <w:u w:val="single"/>
              </w:rPr>
              <w:t xml:space="preserve"> </w:t>
            </w:r>
            <w:r>
              <w:rPr>
                <w:rFonts w:hint="eastAsia" w:ascii="宋体" w:hAnsi="宋体"/>
                <w:color w:val="auto"/>
                <w:szCs w:val="21"/>
                <w:highlight w:val="none"/>
              </w:rPr>
              <w:t>地点：</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ascii="宋体" w:hAnsi="宋体"/>
                <w:color w:val="auto"/>
                <w:szCs w:val="21"/>
                <w:highlight w:val="none"/>
                <w:u w:val="single"/>
              </w:rPr>
              <w:t xml:space="preserve"> </w:t>
            </w:r>
            <w:r>
              <w:rPr>
                <w:rFonts w:hint="eastAsia" w:ascii="宋体" w:hAnsi="宋体"/>
                <w:color w:val="auto"/>
                <w:szCs w:val="21"/>
                <w:highlight w:val="none"/>
              </w:rPr>
              <w:t>联系人：</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ascii="宋体" w:hAnsi="宋体"/>
                <w:color w:val="auto"/>
                <w:szCs w:val="21"/>
                <w:highlight w:val="none"/>
                <w:u w:val="single"/>
              </w:rPr>
              <w:t xml:space="preserve"> </w:t>
            </w:r>
          </w:p>
        </w:tc>
      </w:tr>
      <w:tr w14:paraId="040D64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1791B88D">
            <w:pPr>
              <w:keepNext w:val="0"/>
              <w:keepLines w:val="0"/>
              <w:pageBreakBefore w:val="0"/>
              <w:widowControl w:val="0"/>
              <w:kinsoku/>
              <w:wordWrap/>
              <w:overflowPunct/>
              <w:topLinePunct w:val="0"/>
              <w:autoSpaceDE/>
              <w:autoSpaceDN/>
              <w:bidi w:val="0"/>
              <w:spacing w:line="360" w:lineRule="exact"/>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8.1</w:t>
            </w:r>
            <w:r>
              <w:rPr>
                <w:rFonts w:hint="eastAsia" w:ascii="宋体" w:hAnsi="宋体"/>
                <w:color w:val="auto"/>
                <w:szCs w:val="21"/>
                <w:highlight w:val="none"/>
              </w:rPr>
              <w:t>款</w:t>
            </w:r>
          </w:p>
        </w:tc>
        <w:tc>
          <w:tcPr>
            <w:tcW w:w="1985" w:type="dxa"/>
            <w:vAlign w:val="center"/>
          </w:tcPr>
          <w:p w14:paraId="5C0F2428">
            <w:pPr>
              <w:keepNext w:val="0"/>
              <w:keepLines w:val="0"/>
              <w:pageBreakBefore w:val="0"/>
              <w:widowControl w:val="0"/>
              <w:kinsoku/>
              <w:wordWrap/>
              <w:overflowPunct/>
              <w:topLinePunct w:val="0"/>
              <w:autoSpaceDE/>
              <w:autoSpaceDN/>
              <w:bidi w:val="0"/>
              <w:spacing w:line="360" w:lineRule="exact"/>
              <w:textAlignment w:val="auto"/>
              <w:rPr>
                <w:rFonts w:ascii="宋体" w:hAnsi="宋体"/>
                <w:color w:val="auto"/>
                <w:szCs w:val="21"/>
                <w:highlight w:val="none"/>
              </w:rPr>
            </w:pPr>
            <w:r>
              <w:rPr>
                <w:rFonts w:hint="eastAsia" w:ascii="宋体" w:hAnsi="宋体"/>
                <w:color w:val="auto"/>
                <w:szCs w:val="21"/>
                <w:highlight w:val="none"/>
              </w:rPr>
              <w:t>采购进口产品</w:t>
            </w:r>
          </w:p>
        </w:tc>
        <w:tc>
          <w:tcPr>
            <w:tcW w:w="5162" w:type="dxa"/>
            <w:vAlign w:val="center"/>
          </w:tcPr>
          <w:p w14:paraId="799D4873">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■本项目</w:t>
            </w:r>
            <w:r>
              <w:rPr>
                <w:rFonts w:hint="eastAsia" w:ascii="宋体" w:hAnsi="宋体"/>
                <w:color w:val="auto"/>
                <w:szCs w:val="21"/>
                <w:highlight w:val="none"/>
                <w:u w:val="single"/>
              </w:rPr>
              <w:t>拒绝</w:t>
            </w:r>
            <w:r>
              <w:rPr>
                <w:rFonts w:hint="eastAsia" w:ascii="宋体" w:hAnsi="宋体"/>
                <w:color w:val="auto"/>
                <w:szCs w:val="21"/>
                <w:highlight w:val="none"/>
              </w:rPr>
              <w:t>采购进口产品</w:t>
            </w:r>
          </w:p>
          <w:p w14:paraId="3CCB569A">
            <w:pPr>
              <w:keepNext w:val="0"/>
              <w:keepLines w:val="0"/>
              <w:pageBreakBefore w:val="0"/>
              <w:widowControl w:val="0"/>
              <w:kinsoku/>
              <w:wordWrap/>
              <w:overflowPunct/>
              <w:topLinePunct w:val="0"/>
              <w:autoSpaceDE/>
              <w:autoSpaceDN/>
              <w:bidi w:val="0"/>
              <w:spacing w:line="360" w:lineRule="exact"/>
              <w:textAlignment w:val="auto"/>
              <w:rPr>
                <w:rFonts w:ascii="宋体" w:hAnsi="宋体"/>
                <w:color w:val="auto"/>
                <w:szCs w:val="21"/>
                <w:highlight w:val="none"/>
              </w:rPr>
            </w:pPr>
            <w:r>
              <w:rPr>
                <w:rFonts w:hint="eastAsia" w:ascii="宋体" w:hAnsi="宋体"/>
                <w:color w:val="auto"/>
                <w:szCs w:val="21"/>
                <w:highlight w:val="none"/>
              </w:rPr>
              <w:t>□本项目已经财政部门审核同意购买进口产品</w:t>
            </w:r>
          </w:p>
        </w:tc>
      </w:tr>
      <w:tr w14:paraId="1933D3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6D66E46B">
            <w:pPr>
              <w:keepNext w:val="0"/>
              <w:keepLines w:val="0"/>
              <w:pageBreakBefore w:val="0"/>
              <w:widowControl w:val="0"/>
              <w:kinsoku/>
              <w:wordWrap/>
              <w:overflowPunct/>
              <w:topLinePunct w:val="0"/>
              <w:autoSpaceDE/>
              <w:autoSpaceDN/>
              <w:bidi w:val="0"/>
              <w:spacing w:line="360" w:lineRule="exact"/>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9.1</w:t>
            </w:r>
            <w:r>
              <w:rPr>
                <w:rFonts w:hint="eastAsia" w:ascii="宋体" w:hAnsi="宋体"/>
                <w:color w:val="auto"/>
                <w:szCs w:val="21"/>
                <w:highlight w:val="none"/>
              </w:rPr>
              <w:t>款</w:t>
            </w:r>
          </w:p>
        </w:tc>
        <w:tc>
          <w:tcPr>
            <w:tcW w:w="1985" w:type="dxa"/>
            <w:vAlign w:val="center"/>
          </w:tcPr>
          <w:p w14:paraId="4CC4CB0E">
            <w:pPr>
              <w:keepNext w:val="0"/>
              <w:keepLines w:val="0"/>
              <w:pageBreakBefore w:val="0"/>
              <w:widowControl w:val="0"/>
              <w:kinsoku/>
              <w:wordWrap/>
              <w:overflowPunct/>
              <w:topLinePunct w:val="0"/>
              <w:autoSpaceDE/>
              <w:autoSpaceDN/>
              <w:bidi w:val="0"/>
              <w:spacing w:line="360" w:lineRule="exact"/>
              <w:textAlignment w:val="auto"/>
              <w:rPr>
                <w:rFonts w:ascii="宋体" w:hAnsi="宋体"/>
                <w:color w:val="auto"/>
                <w:szCs w:val="21"/>
                <w:highlight w:val="none"/>
              </w:rPr>
            </w:pPr>
            <w:r>
              <w:rPr>
                <w:rFonts w:hint="eastAsia" w:ascii="宋体" w:hAnsi="宋体"/>
                <w:color w:val="auto"/>
                <w:szCs w:val="21"/>
                <w:highlight w:val="none"/>
              </w:rPr>
              <w:t>政府采购强制采购：</w:t>
            </w:r>
          </w:p>
          <w:p w14:paraId="53DAC436">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、强制采购的节能产品；</w:t>
            </w:r>
          </w:p>
          <w:p w14:paraId="288CEB63">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、其他。</w:t>
            </w:r>
          </w:p>
        </w:tc>
        <w:tc>
          <w:tcPr>
            <w:tcW w:w="5162" w:type="dxa"/>
            <w:vAlign w:val="center"/>
          </w:tcPr>
          <w:p w14:paraId="66DE3EFA">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color w:val="auto"/>
                <w:sz w:val="21"/>
                <w:szCs w:val="21"/>
                <w:highlight w:val="none"/>
              </w:rPr>
            </w:pPr>
            <w:r>
              <w:rPr>
                <w:rFonts w:hint="eastAsia" w:ascii="宋体" w:hAnsi="宋体"/>
                <w:color w:val="auto"/>
                <w:szCs w:val="21"/>
                <w:highlight w:val="none"/>
              </w:rPr>
              <w:t>■</w:t>
            </w:r>
            <w:r>
              <w:rPr>
                <w:rFonts w:hint="eastAsia" w:ascii="宋体" w:hAnsi="宋体" w:eastAsia="宋体" w:cs="宋体"/>
                <w:color w:val="auto"/>
                <w:sz w:val="21"/>
                <w:szCs w:val="21"/>
                <w:highlight w:val="none"/>
              </w:rPr>
              <w:t xml:space="preserve"> 否</w:t>
            </w:r>
          </w:p>
          <w:p w14:paraId="344ACAC6">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eastAsia="宋体" w:cs="宋体"/>
                <w:color w:val="auto"/>
                <w:sz w:val="21"/>
                <w:szCs w:val="21"/>
                <w:highlight w:val="none"/>
              </w:rPr>
              <w:t>□ 是，采购《节能产品政府采购</w:t>
            </w:r>
            <w:r>
              <w:rPr>
                <w:rFonts w:hint="eastAsia" w:ascii="宋体" w:hAnsi="宋体" w:eastAsia="宋体" w:cs="宋体"/>
                <w:color w:val="auto"/>
                <w:sz w:val="21"/>
                <w:szCs w:val="21"/>
                <w:highlight w:val="none"/>
                <w:lang w:val="en-US" w:eastAsia="zh-CN"/>
              </w:rPr>
              <w:t>品目</w:t>
            </w:r>
            <w:r>
              <w:rPr>
                <w:rFonts w:hint="eastAsia" w:ascii="宋体" w:hAnsi="宋体" w:eastAsia="宋体" w:cs="宋体"/>
                <w:color w:val="auto"/>
                <w:sz w:val="21"/>
                <w:szCs w:val="21"/>
                <w:highlight w:val="none"/>
              </w:rPr>
              <w:t>清单》内标记★符号的节能产品。</w:t>
            </w:r>
          </w:p>
        </w:tc>
      </w:tr>
      <w:tr w14:paraId="740157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6F7258D9">
            <w:pPr>
              <w:keepNext w:val="0"/>
              <w:keepLines w:val="0"/>
              <w:pageBreakBefore w:val="0"/>
              <w:widowControl w:val="0"/>
              <w:kinsoku/>
              <w:wordWrap/>
              <w:overflowPunct/>
              <w:topLinePunct w:val="0"/>
              <w:autoSpaceDE/>
              <w:autoSpaceDN/>
              <w:bidi w:val="0"/>
              <w:spacing w:line="360" w:lineRule="exact"/>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9.2</w:t>
            </w:r>
            <w:r>
              <w:rPr>
                <w:rFonts w:hint="eastAsia" w:ascii="宋体" w:hAnsi="宋体"/>
                <w:color w:val="auto"/>
                <w:szCs w:val="21"/>
                <w:highlight w:val="none"/>
              </w:rPr>
              <w:t>款</w:t>
            </w:r>
          </w:p>
        </w:tc>
        <w:tc>
          <w:tcPr>
            <w:tcW w:w="1985" w:type="dxa"/>
            <w:vAlign w:val="center"/>
          </w:tcPr>
          <w:p w14:paraId="5845BC30">
            <w:pPr>
              <w:keepNext w:val="0"/>
              <w:keepLines w:val="0"/>
              <w:pageBreakBefore w:val="0"/>
              <w:widowControl w:val="0"/>
              <w:kinsoku/>
              <w:wordWrap/>
              <w:overflowPunct/>
              <w:topLinePunct w:val="0"/>
              <w:autoSpaceDE/>
              <w:autoSpaceDN/>
              <w:bidi w:val="0"/>
              <w:spacing w:line="360" w:lineRule="exact"/>
              <w:textAlignment w:val="auto"/>
              <w:rPr>
                <w:rFonts w:ascii="宋体" w:hAnsi="宋体"/>
                <w:color w:val="auto"/>
                <w:szCs w:val="21"/>
                <w:highlight w:val="none"/>
              </w:rPr>
            </w:pPr>
            <w:r>
              <w:rPr>
                <w:rFonts w:hint="eastAsia" w:ascii="宋体" w:hAnsi="宋体"/>
                <w:color w:val="auto"/>
                <w:szCs w:val="21"/>
                <w:highlight w:val="none"/>
              </w:rPr>
              <w:t>政府采购优先采购：</w:t>
            </w:r>
          </w:p>
          <w:p w14:paraId="70929ABA">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、非标记★符号的的节能产品；</w:t>
            </w:r>
          </w:p>
          <w:p w14:paraId="31834DFE">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、环境标志产品；</w:t>
            </w:r>
            <w:r>
              <w:rPr>
                <w:rFonts w:ascii="宋体" w:hAnsi="宋体"/>
                <w:color w:val="auto"/>
                <w:szCs w:val="21"/>
                <w:highlight w:val="none"/>
              </w:rPr>
              <w:t>3</w:t>
            </w:r>
            <w:r>
              <w:rPr>
                <w:rFonts w:hint="eastAsia" w:ascii="宋体" w:hAnsi="宋体"/>
                <w:color w:val="auto"/>
                <w:szCs w:val="21"/>
                <w:highlight w:val="none"/>
              </w:rPr>
              <w:t>、</w:t>
            </w:r>
            <w:r>
              <w:rPr>
                <w:rFonts w:hint="eastAsia" w:ascii="宋体" w:hAnsi="宋体" w:cs="宋体"/>
                <w:bCs/>
                <w:color w:val="auto"/>
                <w:kern w:val="0"/>
                <w:szCs w:val="21"/>
                <w:highlight w:val="none"/>
              </w:rPr>
              <w:t>支持</w:t>
            </w:r>
            <w:r>
              <w:rPr>
                <w:rFonts w:hint="eastAsia" w:ascii="宋体" w:hAnsi="宋体"/>
                <w:color w:val="auto"/>
                <w:szCs w:val="21"/>
                <w:highlight w:val="none"/>
              </w:rPr>
              <w:t>小微企业发展；</w:t>
            </w:r>
          </w:p>
          <w:p w14:paraId="254EC6C2">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、监狱企业</w:t>
            </w:r>
          </w:p>
          <w:p w14:paraId="1975CE2E">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lang w:val="en-US" w:eastAsia="zh-CN"/>
              </w:rPr>
              <w:t>5</w:t>
            </w:r>
            <w:r>
              <w:rPr>
                <w:rFonts w:ascii="宋体" w:hAnsi="宋体"/>
                <w:color w:val="auto"/>
                <w:szCs w:val="21"/>
                <w:highlight w:val="none"/>
              </w:rPr>
              <w:t>、残疾人</w:t>
            </w:r>
            <w:r>
              <w:rPr>
                <w:rFonts w:hint="eastAsia" w:ascii="宋体" w:hAnsi="宋体"/>
                <w:color w:val="auto"/>
                <w:szCs w:val="21"/>
                <w:highlight w:val="none"/>
              </w:rPr>
              <w:t>福利性</w:t>
            </w:r>
            <w:r>
              <w:rPr>
                <w:rFonts w:ascii="宋体" w:hAnsi="宋体"/>
                <w:color w:val="auto"/>
                <w:szCs w:val="21"/>
                <w:highlight w:val="none"/>
              </w:rPr>
              <w:t>单位</w:t>
            </w:r>
          </w:p>
          <w:p w14:paraId="7D88A2C3">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lang w:val="en-US" w:eastAsia="zh-CN"/>
              </w:rPr>
              <w:t>6</w:t>
            </w:r>
            <w:r>
              <w:rPr>
                <w:rFonts w:ascii="宋体" w:hAnsi="宋体"/>
                <w:color w:val="auto"/>
                <w:szCs w:val="21"/>
                <w:highlight w:val="none"/>
              </w:rPr>
              <w:t>、其他。</w:t>
            </w:r>
          </w:p>
        </w:tc>
        <w:tc>
          <w:tcPr>
            <w:tcW w:w="5162" w:type="dxa"/>
            <w:vAlign w:val="center"/>
          </w:tcPr>
          <w:p w14:paraId="2C746683">
            <w:pPr>
              <w:keepNext w:val="0"/>
              <w:keepLines w:val="0"/>
              <w:pageBreakBefore w:val="0"/>
              <w:widowControl w:val="0"/>
              <w:kinsoku/>
              <w:wordWrap/>
              <w:overflowPunct/>
              <w:topLinePunct w:val="0"/>
              <w:autoSpaceDE/>
              <w:autoSpaceDN/>
              <w:bidi w:val="0"/>
              <w:spacing w:line="3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1、采购产品为《节能产品政府采购</w:t>
            </w:r>
            <w:r>
              <w:rPr>
                <w:rFonts w:hint="eastAsia" w:ascii="宋体" w:hAnsi="宋体" w:eastAsia="宋体" w:cs="宋体"/>
                <w:color w:val="auto"/>
                <w:sz w:val="21"/>
                <w:szCs w:val="21"/>
                <w:highlight w:val="none"/>
                <w:lang w:val="en-US" w:eastAsia="zh-CN"/>
              </w:rPr>
              <w:t>品目</w:t>
            </w:r>
            <w:r>
              <w:rPr>
                <w:rFonts w:hint="eastAsia" w:ascii="宋体" w:hAnsi="宋体" w:eastAsia="宋体" w:cs="宋体"/>
                <w:color w:val="auto"/>
                <w:sz w:val="21"/>
                <w:szCs w:val="21"/>
                <w:highlight w:val="none"/>
              </w:rPr>
              <w:t>清单》内非标记★符号的，分别给予技术和价格项标准总分值4%-8%的加分。本项目具体加分比例分别为 ：技术</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ascii="宋体" w:hAnsi="宋体"/>
                <w:color w:val="auto"/>
                <w:szCs w:val="21"/>
                <w:highlight w:val="none"/>
                <w:u w:val="single"/>
              </w:rPr>
              <w:t xml:space="preserve"> </w:t>
            </w:r>
            <w:r>
              <w:rPr>
                <w:rFonts w:hint="eastAsia" w:ascii="宋体" w:hAnsi="宋体" w:eastAsia="宋体" w:cs="宋体"/>
                <w:color w:val="auto"/>
                <w:sz w:val="21"/>
                <w:szCs w:val="21"/>
                <w:highlight w:val="none"/>
              </w:rPr>
              <w:t>%、价格</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ascii="宋体" w:hAnsi="宋体"/>
                <w:color w:val="auto"/>
                <w:szCs w:val="21"/>
                <w:highlight w:val="none"/>
                <w:u w:val="single"/>
              </w:rPr>
              <w:t xml:space="preserve"> </w:t>
            </w:r>
            <w:r>
              <w:rPr>
                <w:rFonts w:hint="eastAsia" w:ascii="宋体" w:hAnsi="宋体" w:eastAsia="宋体" w:cs="宋体"/>
                <w:color w:val="auto"/>
                <w:sz w:val="21"/>
                <w:szCs w:val="21"/>
                <w:highlight w:val="none"/>
              </w:rPr>
              <w:t>%。</w:t>
            </w:r>
          </w:p>
          <w:p w14:paraId="3AEF7AA5">
            <w:pPr>
              <w:keepNext w:val="0"/>
              <w:keepLines w:val="0"/>
              <w:pageBreakBefore w:val="0"/>
              <w:widowControl w:val="0"/>
              <w:kinsoku/>
              <w:wordWrap/>
              <w:overflowPunct/>
              <w:topLinePunct w:val="0"/>
              <w:autoSpaceDE/>
              <w:autoSpaceDN/>
              <w:bidi w:val="0"/>
              <w:spacing w:line="360" w:lineRule="exact"/>
              <w:jc w:val="left"/>
              <w:textAlignment w:val="auto"/>
              <w:rPr>
                <w:rFonts w:ascii="宋体" w:hAnsi="宋体"/>
                <w:color w:val="auto"/>
                <w:highlight w:val="none"/>
              </w:rPr>
            </w:pPr>
            <w:r>
              <w:rPr>
                <w:rFonts w:hint="eastAsia" w:ascii="宋体" w:hAnsi="宋体" w:eastAsia="宋体" w:cs="宋体"/>
                <w:color w:val="auto"/>
                <w:sz w:val="21"/>
                <w:szCs w:val="21"/>
                <w:highlight w:val="none"/>
              </w:rPr>
              <w:t>2、采购产品为《环境标志产品政府采购</w:t>
            </w:r>
            <w:r>
              <w:rPr>
                <w:rFonts w:hint="eastAsia" w:ascii="宋体" w:hAnsi="宋体" w:eastAsia="宋体" w:cs="宋体"/>
                <w:color w:val="auto"/>
                <w:sz w:val="21"/>
                <w:szCs w:val="21"/>
                <w:highlight w:val="none"/>
                <w:lang w:val="en-US" w:eastAsia="zh-CN"/>
              </w:rPr>
              <w:t>品目</w:t>
            </w:r>
            <w:r>
              <w:rPr>
                <w:rFonts w:hint="eastAsia" w:ascii="宋体" w:hAnsi="宋体" w:eastAsia="宋体" w:cs="宋体"/>
                <w:color w:val="auto"/>
                <w:sz w:val="21"/>
                <w:szCs w:val="21"/>
                <w:highlight w:val="none"/>
              </w:rPr>
              <w:t>清单》内的，分别给予技术和价格项标准总分值4%-8%的加分。本项目具体加分比例分别为 ：技术</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ascii="宋体" w:hAnsi="宋体"/>
                <w:color w:val="auto"/>
                <w:szCs w:val="21"/>
                <w:highlight w:val="none"/>
                <w:u w:val="single"/>
              </w:rPr>
              <w:t xml:space="preserve"> </w:t>
            </w:r>
            <w:r>
              <w:rPr>
                <w:rFonts w:hint="eastAsia" w:ascii="宋体" w:hAnsi="宋体" w:eastAsia="宋体" w:cs="宋体"/>
                <w:color w:val="auto"/>
                <w:sz w:val="21"/>
                <w:szCs w:val="21"/>
                <w:highlight w:val="none"/>
              </w:rPr>
              <w:t>%、价格</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ascii="宋体" w:hAnsi="宋体"/>
                <w:color w:val="auto"/>
                <w:szCs w:val="21"/>
                <w:highlight w:val="none"/>
                <w:u w:val="single"/>
              </w:rPr>
              <w:t xml:space="preserve"> </w:t>
            </w:r>
            <w:r>
              <w:rPr>
                <w:rFonts w:hint="eastAsia" w:ascii="宋体" w:hAnsi="宋体" w:eastAsia="宋体" w:cs="宋体"/>
                <w:color w:val="auto"/>
                <w:sz w:val="21"/>
                <w:szCs w:val="21"/>
                <w:highlight w:val="none"/>
              </w:rPr>
              <w:t>%。</w:t>
            </w:r>
          </w:p>
        </w:tc>
      </w:tr>
      <w:tr w14:paraId="1F48EC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Merge w:val="restart"/>
            <w:tcBorders>
              <w:top w:val="single" w:color="auto" w:sz="4" w:space="0"/>
            </w:tcBorders>
            <w:vAlign w:val="center"/>
          </w:tcPr>
          <w:p w14:paraId="2565A24A">
            <w:pPr>
              <w:keepNext w:val="0"/>
              <w:keepLines w:val="0"/>
              <w:pageBreakBefore w:val="0"/>
              <w:widowControl w:val="0"/>
              <w:kinsoku/>
              <w:wordWrap/>
              <w:overflowPunct/>
              <w:topLinePunct w:val="0"/>
              <w:autoSpaceDE/>
              <w:autoSpaceDN/>
              <w:bidi w:val="0"/>
              <w:spacing w:line="360" w:lineRule="exact"/>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9.6</w:t>
            </w:r>
            <w:r>
              <w:rPr>
                <w:rFonts w:hint="eastAsia" w:ascii="宋体" w:hAnsi="宋体"/>
                <w:color w:val="auto"/>
                <w:szCs w:val="21"/>
                <w:highlight w:val="none"/>
              </w:rPr>
              <w:t>款</w:t>
            </w:r>
          </w:p>
        </w:tc>
        <w:tc>
          <w:tcPr>
            <w:tcW w:w="1985" w:type="dxa"/>
            <w:tcBorders>
              <w:top w:val="single" w:color="auto" w:sz="4" w:space="0"/>
              <w:bottom w:val="single" w:color="auto" w:sz="4" w:space="0"/>
            </w:tcBorders>
            <w:vAlign w:val="center"/>
          </w:tcPr>
          <w:p w14:paraId="4C64593B">
            <w:pPr>
              <w:keepNext w:val="0"/>
              <w:keepLines w:val="0"/>
              <w:pageBreakBefore w:val="0"/>
              <w:widowControl w:val="0"/>
              <w:kinsoku/>
              <w:wordWrap/>
              <w:overflowPunct/>
              <w:topLinePunct w:val="0"/>
              <w:autoSpaceDE/>
              <w:autoSpaceDN/>
              <w:bidi w:val="0"/>
              <w:spacing w:line="360" w:lineRule="exact"/>
              <w:textAlignment w:val="auto"/>
              <w:rPr>
                <w:rFonts w:ascii="宋体" w:hAnsi="宋体"/>
                <w:color w:val="auto"/>
                <w:szCs w:val="21"/>
                <w:highlight w:val="none"/>
              </w:rPr>
            </w:pPr>
            <w:r>
              <w:rPr>
                <w:rFonts w:hint="eastAsia" w:ascii="宋体" w:hAnsi="宋体" w:cs="宋体"/>
                <w:bCs/>
                <w:color w:val="auto"/>
                <w:kern w:val="0"/>
                <w:szCs w:val="21"/>
                <w:highlight w:val="none"/>
              </w:rPr>
              <w:t>政府采购支持中小企业融资</w:t>
            </w:r>
          </w:p>
        </w:tc>
        <w:tc>
          <w:tcPr>
            <w:tcW w:w="5162" w:type="dxa"/>
            <w:tcBorders>
              <w:top w:val="single" w:color="auto" w:sz="4" w:space="0"/>
              <w:bottom w:val="single" w:color="auto" w:sz="4" w:space="0"/>
            </w:tcBorders>
            <w:vAlign w:val="center"/>
          </w:tcPr>
          <w:p w14:paraId="22B47129">
            <w:pPr>
              <w:keepNext w:val="0"/>
              <w:keepLines w:val="0"/>
              <w:pageBreakBefore w:val="0"/>
              <w:widowControl w:val="0"/>
              <w:kinsoku/>
              <w:wordWrap/>
              <w:overflowPunct/>
              <w:topLinePunct w:val="0"/>
              <w:autoSpaceDE/>
              <w:autoSpaceDN/>
              <w:bidi w:val="0"/>
              <w:spacing w:line="360" w:lineRule="exact"/>
              <w:textAlignment w:val="auto"/>
              <w:rPr>
                <w:rFonts w:ascii="宋体" w:hAnsi="宋体"/>
                <w:color w:val="auto"/>
                <w:szCs w:val="21"/>
                <w:highlight w:val="none"/>
              </w:rPr>
            </w:pPr>
            <w:r>
              <w:rPr>
                <w:rFonts w:hint="eastAsia" w:ascii="宋体" w:hAnsi="宋体" w:eastAsia="宋体" w:cs="宋体"/>
                <w:color w:val="auto"/>
                <w:sz w:val="21"/>
                <w:szCs w:val="21"/>
                <w:highlight w:val="none"/>
              </w:rPr>
              <w:t>有融资需求的，可向本附表附页1所列银行咨询或登陆中国湖南政府采购网查询。</w:t>
            </w:r>
          </w:p>
        </w:tc>
      </w:tr>
      <w:tr w14:paraId="78A052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Merge w:val="continue"/>
            <w:vAlign w:val="center"/>
          </w:tcPr>
          <w:p w14:paraId="0FAA0F2F">
            <w:pPr>
              <w:keepNext w:val="0"/>
              <w:keepLines w:val="0"/>
              <w:pageBreakBefore w:val="0"/>
              <w:widowControl w:val="0"/>
              <w:kinsoku/>
              <w:wordWrap/>
              <w:overflowPunct/>
              <w:topLinePunct w:val="0"/>
              <w:autoSpaceDE/>
              <w:autoSpaceDN/>
              <w:bidi w:val="0"/>
              <w:spacing w:line="360" w:lineRule="exact"/>
              <w:textAlignment w:val="auto"/>
              <w:rPr>
                <w:rFonts w:ascii="宋体" w:hAnsi="宋体"/>
                <w:color w:val="auto"/>
                <w:szCs w:val="21"/>
                <w:highlight w:val="none"/>
              </w:rPr>
            </w:pPr>
          </w:p>
        </w:tc>
        <w:tc>
          <w:tcPr>
            <w:tcW w:w="1985" w:type="dxa"/>
            <w:vAlign w:val="center"/>
          </w:tcPr>
          <w:p w14:paraId="6CE47087">
            <w:pPr>
              <w:keepNext w:val="0"/>
              <w:keepLines w:val="0"/>
              <w:pageBreakBefore w:val="0"/>
              <w:widowControl w:val="0"/>
              <w:kinsoku/>
              <w:wordWrap/>
              <w:overflowPunct/>
              <w:topLinePunct w:val="0"/>
              <w:autoSpaceDE/>
              <w:autoSpaceDN/>
              <w:bidi w:val="0"/>
              <w:spacing w:line="360" w:lineRule="exact"/>
              <w:textAlignment w:val="auto"/>
              <w:rPr>
                <w:rFonts w:ascii="宋体" w:hAnsi="宋体"/>
                <w:color w:val="auto"/>
                <w:szCs w:val="21"/>
                <w:highlight w:val="none"/>
              </w:rPr>
            </w:pPr>
            <w:r>
              <w:rPr>
                <w:rFonts w:hint="eastAsia" w:ascii="宋体" w:hAnsi="宋体" w:cs="宋体"/>
                <w:bCs/>
                <w:color w:val="auto"/>
                <w:kern w:val="0"/>
                <w:szCs w:val="21"/>
                <w:highlight w:val="none"/>
              </w:rPr>
              <w:t>政府采购信用担保</w:t>
            </w:r>
          </w:p>
        </w:tc>
        <w:tc>
          <w:tcPr>
            <w:tcW w:w="5162" w:type="dxa"/>
            <w:vAlign w:val="center"/>
          </w:tcPr>
          <w:p w14:paraId="40AC94FA">
            <w:pPr>
              <w:keepNext w:val="0"/>
              <w:keepLines w:val="0"/>
              <w:pageBreakBefore w:val="0"/>
              <w:widowControl w:val="0"/>
              <w:kinsoku/>
              <w:wordWrap/>
              <w:overflowPunct/>
              <w:topLinePunct w:val="0"/>
              <w:autoSpaceDE/>
              <w:autoSpaceDN/>
              <w:bidi w:val="0"/>
              <w:spacing w:line="360" w:lineRule="exact"/>
              <w:textAlignment w:val="auto"/>
              <w:rPr>
                <w:rFonts w:ascii="宋体" w:hAnsi="宋体"/>
                <w:color w:val="auto"/>
                <w:szCs w:val="21"/>
                <w:highlight w:val="none"/>
              </w:rPr>
            </w:pPr>
            <w:r>
              <w:rPr>
                <w:rFonts w:hint="eastAsia" w:ascii="宋体" w:hAnsi="宋体" w:eastAsia="宋体" w:cs="宋体"/>
                <w:color w:val="auto"/>
                <w:sz w:val="21"/>
                <w:szCs w:val="21"/>
                <w:highlight w:val="none"/>
              </w:rPr>
              <w:t>有履约担保或融资担保需求的，可向本附表附页2所列担保机构咨询或登陆中国湖南政府采购网查询，格式见附页3。</w:t>
            </w:r>
          </w:p>
        </w:tc>
      </w:tr>
      <w:tr w14:paraId="30F9EF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991" w:type="dxa"/>
            <w:gridSpan w:val="3"/>
            <w:vAlign w:val="center"/>
          </w:tcPr>
          <w:p w14:paraId="5ACE8DED">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b/>
                <w:color w:val="auto"/>
                <w:szCs w:val="21"/>
                <w:highlight w:val="none"/>
              </w:rPr>
            </w:pPr>
            <w:r>
              <w:rPr>
                <w:rFonts w:hint="eastAsia" w:ascii="宋体" w:hAnsi="宋体"/>
                <w:b/>
                <w:color w:val="auto"/>
                <w:szCs w:val="21"/>
                <w:highlight w:val="none"/>
              </w:rPr>
              <w:t>二、磋商文件</w:t>
            </w:r>
          </w:p>
        </w:tc>
      </w:tr>
      <w:tr w14:paraId="223F43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3D91EA9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10.2</w:t>
            </w:r>
            <w:r>
              <w:rPr>
                <w:rFonts w:hint="eastAsia" w:ascii="宋体" w:hAnsi="宋体"/>
                <w:color w:val="auto"/>
                <w:szCs w:val="21"/>
                <w:highlight w:val="none"/>
              </w:rPr>
              <w:t>款</w:t>
            </w:r>
          </w:p>
        </w:tc>
        <w:tc>
          <w:tcPr>
            <w:tcW w:w="1985" w:type="dxa"/>
            <w:vAlign w:val="center"/>
          </w:tcPr>
          <w:p w14:paraId="79E00145">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宋体" w:hAnsi="宋体"/>
                <w:color w:val="auto"/>
                <w:szCs w:val="21"/>
                <w:highlight w:val="none"/>
              </w:rPr>
            </w:pPr>
            <w:r>
              <w:rPr>
                <w:rFonts w:hint="eastAsia" w:ascii="宋体" w:hAnsi="宋体"/>
                <w:color w:val="auto"/>
                <w:szCs w:val="21"/>
                <w:highlight w:val="none"/>
              </w:rPr>
              <w:t>磋商文件的可能实质性变动内容</w:t>
            </w:r>
          </w:p>
        </w:tc>
        <w:tc>
          <w:tcPr>
            <w:tcW w:w="5162" w:type="dxa"/>
            <w:vAlign w:val="center"/>
          </w:tcPr>
          <w:p w14:paraId="453391E8">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宋体" w:hAnsi="宋体"/>
                <w:color w:val="auto"/>
                <w:szCs w:val="21"/>
                <w:highlight w:val="none"/>
              </w:rPr>
            </w:pPr>
            <w:r>
              <w:rPr>
                <w:rFonts w:hint="eastAsia" w:ascii="宋体" w:hAnsi="宋体" w:cs="宋体"/>
                <w:color w:val="auto"/>
                <w:szCs w:val="21"/>
                <w:highlight w:val="none"/>
              </w:rPr>
              <w:t>技术、服务、合同条款可能变动</w:t>
            </w:r>
          </w:p>
        </w:tc>
      </w:tr>
      <w:tr w14:paraId="4B6DDF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26B6476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11.1</w:t>
            </w:r>
            <w:r>
              <w:rPr>
                <w:rFonts w:hint="eastAsia" w:ascii="宋体" w:hAnsi="宋体"/>
                <w:color w:val="auto"/>
                <w:szCs w:val="21"/>
                <w:highlight w:val="none"/>
              </w:rPr>
              <w:t>款</w:t>
            </w:r>
          </w:p>
        </w:tc>
        <w:tc>
          <w:tcPr>
            <w:tcW w:w="1985" w:type="dxa"/>
            <w:vAlign w:val="center"/>
          </w:tcPr>
          <w:p w14:paraId="5C436607">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宋体" w:hAnsi="宋体"/>
                <w:color w:val="auto"/>
                <w:szCs w:val="21"/>
                <w:highlight w:val="none"/>
              </w:rPr>
            </w:pPr>
            <w:r>
              <w:rPr>
                <w:rFonts w:hint="eastAsia" w:ascii="宋体" w:hAnsi="宋体"/>
                <w:color w:val="auto"/>
                <w:szCs w:val="21"/>
                <w:highlight w:val="none"/>
              </w:rPr>
              <w:t>提供磋商文件期限</w:t>
            </w:r>
          </w:p>
        </w:tc>
        <w:tc>
          <w:tcPr>
            <w:tcW w:w="5162" w:type="dxa"/>
            <w:vAlign w:val="center"/>
          </w:tcPr>
          <w:p w14:paraId="666FB51E">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宋体" w:hAnsi="宋体"/>
                <w:color w:val="auto"/>
                <w:szCs w:val="21"/>
                <w:highlight w:val="none"/>
              </w:rPr>
            </w:pPr>
            <w:r>
              <w:rPr>
                <w:rFonts w:hint="eastAsia" w:ascii="宋体" w:hAnsi="宋体"/>
                <w:b w:val="0"/>
                <w:bCs w:val="0"/>
                <w:color w:val="auto"/>
                <w:szCs w:val="21"/>
                <w:highlight w:val="none"/>
                <w:u w:val="single"/>
                <w:lang w:val="en-US" w:eastAsia="zh-CN"/>
              </w:rPr>
              <w:t>详</w:t>
            </w:r>
            <w:r>
              <w:rPr>
                <w:rFonts w:hint="eastAsia" w:ascii="宋体" w:hAnsi="宋体"/>
                <w:b w:val="0"/>
                <w:bCs w:val="0"/>
                <w:color w:val="auto"/>
                <w:szCs w:val="21"/>
                <w:highlight w:val="none"/>
                <w:u w:val="single"/>
              </w:rPr>
              <w:t>见第一章</w:t>
            </w:r>
            <w:r>
              <w:rPr>
                <w:rFonts w:hint="eastAsia" w:ascii="宋体" w:hAnsi="宋体"/>
                <w:b w:val="0"/>
                <w:bCs w:val="0"/>
                <w:color w:val="auto"/>
                <w:szCs w:val="21"/>
                <w:highlight w:val="none"/>
                <w:u w:val="single"/>
                <w:lang w:val="en-US" w:eastAsia="zh-CN"/>
              </w:rPr>
              <w:t xml:space="preserve"> 磋商邀请</w:t>
            </w:r>
          </w:p>
        </w:tc>
      </w:tr>
      <w:tr w14:paraId="38A655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39B644B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11.2</w:t>
            </w:r>
            <w:r>
              <w:rPr>
                <w:rFonts w:hint="eastAsia" w:ascii="宋体" w:hAnsi="宋体"/>
                <w:color w:val="auto"/>
                <w:szCs w:val="21"/>
                <w:highlight w:val="none"/>
              </w:rPr>
              <w:t>款</w:t>
            </w:r>
          </w:p>
        </w:tc>
        <w:tc>
          <w:tcPr>
            <w:tcW w:w="1985" w:type="dxa"/>
            <w:vAlign w:val="center"/>
          </w:tcPr>
          <w:p w14:paraId="606E0007">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宋体" w:hAnsi="宋体"/>
                <w:color w:val="auto"/>
                <w:szCs w:val="21"/>
                <w:highlight w:val="none"/>
              </w:rPr>
            </w:pPr>
            <w:r>
              <w:rPr>
                <w:rFonts w:hint="eastAsia" w:ascii="宋体" w:hAnsi="宋体"/>
                <w:color w:val="auto"/>
                <w:szCs w:val="21"/>
                <w:highlight w:val="none"/>
              </w:rPr>
              <w:t>领取或购买磋商文件时应提供的资料</w:t>
            </w:r>
          </w:p>
        </w:tc>
        <w:tc>
          <w:tcPr>
            <w:tcW w:w="5162" w:type="dxa"/>
            <w:vAlign w:val="center"/>
          </w:tcPr>
          <w:p w14:paraId="363A1A34">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宋体" w:hAnsi="宋体"/>
                <w:color w:val="auto"/>
                <w:szCs w:val="21"/>
                <w:highlight w:val="none"/>
                <w:u w:val="single"/>
              </w:rPr>
            </w:pPr>
            <w:r>
              <w:rPr>
                <w:rFonts w:hint="eastAsia" w:ascii="宋体" w:hAnsi="宋体"/>
                <w:color w:val="auto"/>
                <w:szCs w:val="21"/>
                <w:highlight w:val="none"/>
              </w:rPr>
              <w:t>个人身份证、法定代表人身份证明</w:t>
            </w:r>
            <w:r>
              <w:rPr>
                <w:rFonts w:ascii="宋体" w:hAnsi="宋体"/>
                <w:color w:val="auto"/>
                <w:szCs w:val="21"/>
                <w:highlight w:val="none"/>
              </w:rPr>
              <w:t>(</w:t>
            </w:r>
            <w:r>
              <w:rPr>
                <w:rFonts w:hint="eastAsia" w:ascii="宋体" w:hAnsi="宋体"/>
                <w:color w:val="auto"/>
                <w:szCs w:val="21"/>
                <w:highlight w:val="none"/>
              </w:rPr>
              <w:t>或者授权委托书并附法定代表人身份证明</w:t>
            </w:r>
            <w:r>
              <w:rPr>
                <w:rFonts w:ascii="宋体" w:hAnsi="宋体"/>
                <w:color w:val="auto"/>
                <w:szCs w:val="21"/>
                <w:highlight w:val="none"/>
              </w:rPr>
              <w:t>)</w:t>
            </w:r>
            <w:r>
              <w:rPr>
                <w:rFonts w:hint="eastAsia" w:ascii="宋体" w:hAnsi="宋体"/>
                <w:color w:val="auto"/>
                <w:szCs w:val="21"/>
                <w:highlight w:val="none"/>
              </w:rPr>
              <w:t>。</w:t>
            </w:r>
          </w:p>
        </w:tc>
      </w:tr>
      <w:tr w14:paraId="7913AF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7CC353B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12.1</w:t>
            </w:r>
            <w:r>
              <w:rPr>
                <w:rFonts w:hint="eastAsia" w:ascii="宋体" w:hAnsi="宋体"/>
                <w:color w:val="auto"/>
                <w:szCs w:val="21"/>
                <w:highlight w:val="none"/>
              </w:rPr>
              <w:t>款</w:t>
            </w:r>
          </w:p>
        </w:tc>
        <w:tc>
          <w:tcPr>
            <w:tcW w:w="1985" w:type="dxa"/>
            <w:vAlign w:val="center"/>
          </w:tcPr>
          <w:p w14:paraId="4DF82EF7">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提交首次响应文件的截止时间</w:t>
            </w:r>
          </w:p>
        </w:tc>
        <w:tc>
          <w:tcPr>
            <w:tcW w:w="5162" w:type="dxa"/>
            <w:vAlign w:val="center"/>
          </w:tcPr>
          <w:p w14:paraId="0713B8BE">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ascii="宋体" w:hAnsi="宋体"/>
                <w:color w:val="auto"/>
                <w:szCs w:val="21"/>
                <w:highlight w:val="none"/>
              </w:rPr>
            </w:pPr>
            <w:r>
              <w:rPr>
                <w:rFonts w:hint="eastAsia" w:ascii="宋体" w:hAnsi="宋体"/>
                <w:b w:val="0"/>
                <w:bCs w:val="0"/>
                <w:color w:val="auto"/>
                <w:szCs w:val="21"/>
                <w:highlight w:val="none"/>
                <w:u w:val="single"/>
                <w:lang w:val="en-US" w:eastAsia="zh-CN"/>
              </w:rPr>
              <w:t>详</w:t>
            </w:r>
            <w:r>
              <w:rPr>
                <w:rFonts w:hint="eastAsia" w:ascii="宋体" w:hAnsi="宋体"/>
                <w:b w:val="0"/>
                <w:bCs w:val="0"/>
                <w:color w:val="auto"/>
                <w:szCs w:val="21"/>
                <w:highlight w:val="none"/>
                <w:u w:val="single"/>
              </w:rPr>
              <w:t>见第一章</w:t>
            </w:r>
            <w:r>
              <w:rPr>
                <w:rFonts w:hint="eastAsia" w:ascii="宋体" w:hAnsi="宋体"/>
                <w:b w:val="0"/>
                <w:bCs w:val="0"/>
                <w:color w:val="auto"/>
                <w:szCs w:val="21"/>
                <w:highlight w:val="none"/>
                <w:u w:val="single"/>
                <w:lang w:val="en-US" w:eastAsia="zh-CN"/>
              </w:rPr>
              <w:t xml:space="preserve"> 磋商邀请</w:t>
            </w:r>
          </w:p>
        </w:tc>
      </w:tr>
      <w:tr w14:paraId="19487E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991" w:type="dxa"/>
            <w:gridSpan w:val="3"/>
            <w:vAlign w:val="center"/>
          </w:tcPr>
          <w:p w14:paraId="2C066E25">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b/>
                <w:color w:val="auto"/>
                <w:szCs w:val="21"/>
                <w:highlight w:val="none"/>
              </w:rPr>
              <w:t>三、响应文件的编写</w:t>
            </w:r>
          </w:p>
        </w:tc>
      </w:tr>
      <w:tr w14:paraId="5E78D5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3C54E3A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16.4</w:t>
            </w:r>
            <w:r>
              <w:rPr>
                <w:rFonts w:hint="eastAsia" w:ascii="宋体" w:hAnsi="宋体"/>
                <w:color w:val="auto"/>
                <w:szCs w:val="21"/>
                <w:highlight w:val="none"/>
              </w:rPr>
              <w:t>款</w:t>
            </w:r>
          </w:p>
        </w:tc>
        <w:tc>
          <w:tcPr>
            <w:tcW w:w="1985" w:type="dxa"/>
            <w:vAlign w:val="center"/>
          </w:tcPr>
          <w:p w14:paraId="15FEC3A4">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采购项目预算及最高限价</w:t>
            </w:r>
          </w:p>
        </w:tc>
        <w:tc>
          <w:tcPr>
            <w:tcW w:w="5162" w:type="dxa"/>
            <w:vAlign w:val="center"/>
          </w:tcPr>
          <w:p w14:paraId="482EEB11">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default" w:ascii="宋体" w:hAnsi="宋体"/>
                <w:color w:val="auto"/>
                <w:szCs w:val="21"/>
                <w:highlight w:val="none"/>
                <w:lang w:val="en-US"/>
              </w:rPr>
            </w:pPr>
            <w:r>
              <w:rPr>
                <w:rFonts w:hint="eastAsia" w:ascii="宋体" w:hAnsi="宋体"/>
                <w:color w:val="auto"/>
                <w:szCs w:val="21"/>
                <w:highlight w:val="none"/>
              </w:rPr>
              <w:t>项目预算：</w:t>
            </w:r>
            <w:r>
              <w:rPr>
                <w:rFonts w:hint="eastAsia" w:ascii="宋体" w:hAnsi="宋体"/>
                <w:color w:val="auto"/>
                <w:szCs w:val="21"/>
                <w:highlight w:val="none"/>
                <w:lang w:val="en-US" w:eastAsia="zh-CN"/>
              </w:rPr>
              <w:t>3958097.84</w:t>
            </w:r>
            <w:r>
              <w:rPr>
                <w:rFonts w:hint="eastAsia" w:ascii="宋体" w:hAnsi="宋体"/>
                <w:color w:val="auto"/>
                <w:szCs w:val="21"/>
                <w:highlight w:val="none"/>
                <w:lang w:eastAsia="zh-CN"/>
              </w:rPr>
              <w:t>元；</w:t>
            </w:r>
            <w:r>
              <w:rPr>
                <w:rFonts w:hint="eastAsia" w:ascii="宋体" w:hAnsi="宋体"/>
                <w:color w:val="auto"/>
                <w:szCs w:val="21"/>
                <w:highlight w:val="none"/>
                <w:lang w:val="en-US" w:eastAsia="zh-CN"/>
              </w:rPr>
              <w:t>最高限价：3958097.84元</w:t>
            </w:r>
          </w:p>
        </w:tc>
      </w:tr>
      <w:tr w14:paraId="3EBFAF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763B130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17.3</w:t>
            </w:r>
            <w:r>
              <w:rPr>
                <w:rFonts w:hint="eastAsia" w:ascii="宋体" w:hAnsi="宋体"/>
                <w:color w:val="auto"/>
                <w:szCs w:val="21"/>
                <w:highlight w:val="none"/>
              </w:rPr>
              <w:t>款</w:t>
            </w:r>
          </w:p>
        </w:tc>
        <w:tc>
          <w:tcPr>
            <w:tcW w:w="1985" w:type="dxa"/>
            <w:vAlign w:val="center"/>
          </w:tcPr>
          <w:p w14:paraId="4AA7B68E">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highlight w:val="none"/>
              </w:rPr>
              <w:t>非制造商的证明文件</w:t>
            </w:r>
          </w:p>
        </w:tc>
        <w:tc>
          <w:tcPr>
            <w:tcW w:w="5162" w:type="dxa"/>
            <w:vAlign w:val="center"/>
          </w:tcPr>
          <w:p w14:paraId="6AFCA3BF">
            <w:pPr>
              <w:keepNext w:val="0"/>
              <w:keepLines w:val="0"/>
              <w:pageBreakBefore w:val="0"/>
              <w:widowControl w:val="0"/>
              <w:kinsoku/>
              <w:wordWrap/>
              <w:overflowPunct/>
              <w:topLinePunct w:val="0"/>
              <w:autoSpaceDE/>
              <w:autoSpaceDN/>
              <w:bidi w:val="0"/>
              <w:adjustRightInd w:val="0"/>
              <w:snapToGrid w:val="0"/>
              <w:spacing w:before="0" w:beforeLines="-2147483648" w:line="360" w:lineRule="exact"/>
              <w:textAlignment w:val="auto"/>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 xml:space="preserve"> </w:t>
            </w:r>
            <w:r>
              <w:rPr>
                <w:rFonts w:hint="eastAsia" w:ascii="宋体" w:hAnsi="宋体"/>
                <w:color w:val="auto"/>
                <w:szCs w:val="21"/>
                <w:highlight w:val="none"/>
              </w:rPr>
              <w:t>不要求提供</w:t>
            </w:r>
          </w:p>
          <w:p w14:paraId="630836CE">
            <w:pPr>
              <w:keepNext w:val="0"/>
              <w:keepLines w:val="0"/>
              <w:pageBreakBefore w:val="0"/>
              <w:widowControl w:val="0"/>
              <w:kinsoku/>
              <w:wordWrap/>
              <w:overflowPunct/>
              <w:topLinePunct w:val="0"/>
              <w:autoSpaceDE/>
              <w:autoSpaceDN/>
              <w:bidi w:val="0"/>
              <w:adjustRightInd w:val="0"/>
              <w:snapToGrid w:val="0"/>
              <w:spacing w:before="0" w:beforeLines="-2147483648" w:line="360" w:lineRule="exact"/>
              <w:textAlignment w:val="auto"/>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 xml:space="preserve"> </w:t>
            </w:r>
            <w:r>
              <w:rPr>
                <w:rFonts w:hint="eastAsia" w:ascii="宋体" w:hAnsi="宋体"/>
                <w:color w:val="auto"/>
                <w:szCs w:val="21"/>
                <w:highlight w:val="none"/>
              </w:rPr>
              <w:t>要求提供：（</w:t>
            </w:r>
            <w:r>
              <w:rPr>
                <w:rFonts w:hint="eastAsia" w:ascii="宋体" w:hAnsi="宋体"/>
                <w:color w:val="auto"/>
                <w:szCs w:val="21"/>
                <w:highlight w:val="none"/>
                <w:lang w:val="en-US" w:eastAsia="zh-CN"/>
              </w:rPr>
              <w:t>提供</w:t>
            </w:r>
            <w:r>
              <w:rPr>
                <w:rFonts w:hint="eastAsia" w:ascii="宋体" w:hAnsi="宋体"/>
                <w:color w:val="auto"/>
                <w:szCs w:val="21"/>
                <w:highlight w:val="none"/>
              </w:rPr>
              <w:t>证明文件复印件，否则视为无效响应。）</w:t>
            </w:r>
          </w:p>
          <w:p w14:paraId="5201FD6D">
            <w:pPr>
              <w:keepNext w:val="0"/>
              <w:keepLines w:val="0"/>
              <w:pageBreakBefore w:val="0"/>
              <w:widowControl w:val="0"/>
              <w:kinsoku/>
              <w:wordWrap/>
              <w:overflowPunct/>
              <w:topLinePunct w:val="0"/>
              <w:autoSpaceDE/>
              <w:autoSpaceDN/>
              <w:bidi w:val="0"/>
              <w:adjustRightInd w:val="0"/>
              <w:snapToGrid w:val="0"/>
              <w:spacing w:before="0" w:beforeLines="-2147483648" w:line="360" w:lineRule="exact"/>
              <w:textAlignment w:val="auto"/>
              <w:rPr>
                <w:rFonts w:ascii="宋体" w:hAnsi="宋体"/>
                <w:color w:val="auto"/>
                <w:szCs w:val="21"/>
                <w:highlight w:val="none"/>
              </w:rPr>
            </w:pPr>
            <w:r>
              <w:rPr>
                <w:rFonts w:hint="eastAsia" w:ascii="宋体" w:hAnsi="宋体"/>
                <w:color w:val="auto"/>
                <w:szCs w:val="21"/>
                <w:highlight w:val="none"/>
              </w:rPr>
              <w:t>经销、或代理投标货物、或为投标货物提供售后服务的证明文件。</w:t>
            </w:r>
          </w:p>
        </w:tc>
      </w:tr>
      <w:tr w14:paraId="3DEBD5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54AE31A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18.1</w:t>
            </w:r>
            <w:r>
              <w:rPr>
                <w:rFonts w:hint="eastAsia" w:ascii="宋体" w:hAnsi="宋体"/>
                <w:color w:val="auto"/>
                <w:szCs w:val="21"/>
                <w:highlight w:val="none"/>
              </w:rPr>
              <w:t>款</w:t>
            </w:r>
          </w:p>
        </w:tc>
        <w:tc>
          <w:tcPr>
            <w:tcW w:w="1985" w:type="dxa"/>
            <w:vAlign w:val="center"/>
          </w:tcPr>
          <w:p w14:paraId="04103F6E">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highlight w:val="none"/>
              </w:rPr>
            </w:pPr>
            <w:r>
              <w:rPr>
                <w:rFonts w:hint="eastAsia" w:ascii="宋体" w:hAnsi="宋体"/>
                <w:color w:val="auto"/>
                <w:szCs w:val="21"/>
                <w:highlight w:val="none"/>
              </w:rPr>
              <w:t>样品提供及样品提交的时间、地点</w:t>
            </w:r>
          </w:p>
        </w:tc>
        <w:tc>
          <w:tcPr>
            <w:tcW w:w="5162" w:type="dxa"/>
            <w:vAlign w:val="center"/>
          </w:tcPr>
          <w:p w14:paraId="702D3789">
            <w:pPr>
              <w:keepNext w:val="0"/>
              <w:keepLines w:val="0"/>
              <w:pageBreakBefore w:val="0"/>
              <w:widowControl w:val="0"/>
              <w:kinsoku/>
              <w:wordWrap/>
              <w:overflowPunct/>
              <w:topLinePunct w:val="0"/>
              <w:autoSpaceDE/>
              <w:autoSpaceDN/>
              <w:bidi w:val="0"/>
              <w:adjustRightInd w:val="0"/>
              <w:snapToGrid w:val="0"/>
              <w:spacing w:before="0" w:beforeLines="-2147483648" w:line="360" w:lineRule="exact"/>
              <w:textAlignment w:val="auto"/>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 xml:space="preserve"> </w:t>
            </w:r>
            <w:r>
              <w:rPr>
                <w:rFonts w:hint="eastAsia" w:ascii="宋体" w:hAnsi="宋体"/>
                <w:color w:val="auto"/>
                <w:szCs w:val="21"/>
                <w:highlight w:val="none"/>
              </w:rPr>
              <w:t>不要求提供</w:t>
            </w:r>
          </w:p>
          <w:p w14:paraId="409A94D8">
            <w:pPr>
              <w:keepNext w:val="0"/>
              <w:keepLines w:val="0"/>
              <w:pageBreakBefore w:val="0"/>
              <w:widowControl w:val="0"/>
              <w:kinsoku/>
              <w:wordWrap/>
              <w:overflowPunct/>
              <w:topLinePunct w:val="0"/>
              <w:autoSpaceDE/>
              <w:autoSpaceDN/>
              <w:bidi w:val="0"/>
              <w:adjustRightInd w:val="0"/>
              <w:snapToGrid w:val="0"/>
              <w:spacing w:before="0" w:beforeLines="-2147483648" w:line="360" w:lineRule="exact"/>
              <w:textAlignment w:val="auto"/>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 xml:space="preserve"> </w:t>
            </w:r>
            <w:r>
              <w:rPr>
                <w:rFonts w:hint="eastAsia" w:ascii="宋体" w:hAnsi="宋体"/>
                <w:color w:val="auto"/>
                <w:szCs w:val="21"/>
                <w:highlight w:val="none"/>
              </w:rPr>
              <w:t>要求提供，提交的样品</w:t>
            </w:r>
            <w:r>
              <w:rPr>
                <w:rFonts w:hint="eastAsia" w:ascii="宋体" w:hAnsi="宋体"/>
                <w:color w:val="auto"/>
                <w:szCs w:val="21"/>
                <w:highlight w:val="none"/>
                <w:lang w:eastAsia="zh-CN"/>
              </w:rPr>
              <w:t>：</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ascii="宋体" w:hAnsi="宋体"/>
                <w:color w:val="auto"/>
                <w:szCs w:val="21"/>
                <w:highlight w:val="none"/>
                <w:u w:val="single"/>
              </w:rPr>
              <w:t xml:space="preserve"> </w:t>
            </w:r>
            <w:r>
              <w:rPr>
                <w:rFonts w:ascii="宋体" w:hAnsi="宋体"/>
                <w:color w:val="auto"/>
                <w:szCs w:val="21"/>
                <w:highlight w:val="none"/>
              </w:rPr>
              <w:t>,</w:t>
            </w:r>
            <w:r>
              <w:rPr>
                <w:rFonts w:hint="eastAsia" w:ascii="宋体" w:hAnsi="宋体"/>
                <w:color w:val="auto"/>
                <w:szCs w:val="21"/>
                <w:highlight w:val="none"/>
              </w:rPr>
              <w:t>提交的时间</w:t>
            </w:r>
            <w:r>
              <w:rPr>
                <w:rFonts w:hint="eastAsia" w:ascii="宋体" w:hAnsi="宋体"/>
                <w:color w:val="auto"/>
                <w:szCs w:val="21"/>
                <w:highlight w:val="none"/>
                <w:lang w:eastAsia="zh-CN"/>
              </w:rPr>
              <w:t>：</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、地点</w:t>
            </w:r>
            <w:r>
              <w:rPr>
                <w:rFonts w:hint="eastAsia" w:ascii="宋体" w:hAnsi="宋体"/>
                <w:color w:val="auto"/>
                <w:szCs w:val="21"/>
                <w:highlight w:val="none"/>
                <w:lang w:eastAsia="zh-CN"/>
              </w:rPr>
              <w:t>：</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ascii="宋体" w:hAnsi="宋体"/>
                <w:color w:val="auto"/>
                <w:szCs w:val="21"/>
                <w:highlight w:val="none"/>
                <w:u w:val="single"/>
              </w:rPr>
              <w:t xml:space="preserve"> </w:t>
            </w:r>
            <w:r>
              <w:rPr>
                <w:rFonts w:hint="eastAsia" w:ascii="宋体" w:hAnsi="宋体"/>
                <w:color w:val="auto"/>
                <w:szCs w:val="21"/>
                <w:highlight w:val="none"/>
              </w:rPr>
              <w:t>。</w:t>
            </w:r>
          </w:p>
        </w:tc>
      </w:tr>
      <w:tr w14:paraId="2B31B0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651CC65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19.1</w:t>
            </w:r>
            <w:r>
              <w:rPr>
                <w:rFonts w:hint="eastAsia" w:ascii="宋体" w:hAnsi="宋体"/>
                <w:color w:val="auto"/>
                <w:szCs w:val="21"/>
                <w:highlight w:val="none"/>
              </w:rPr>
              <w:t>款</w:t>
            </w:r>
          </w:p>
        </w:tc>
        <w:tc>
          <w:tcPr>
            <w:tcW w:w="1985" w:type="dxa"/>
            <w:vAlign w:val="center"/>
          </w:tcPr>
          <w:p w14:paraId="61A9FAB0">
            <w:pPr>
              <w:keepNext w:val="0"/>
              <w:keepLines w:val="0"/>
              <w:pageBreakBefore w:val="0"/>
              <w:widowControl w:val="0"/>
              <w:kinsoku/>
              <w:wordWrap/>
              <w:overflowPunct/>
              <w:topLinePunct w:val="0"/>
              <w:autoSpaceDE/>
              <w:autoSpaceDN/>
              <w:bidi w:val="0"/>
              <w:adjustRightInd w:val="0"/>
              <w:snapToGrid w:val="0"/>
              <w:spacing w:line="360" w:lineRule="exact"/>
              <w:ind w:left="-533" w:leftChars="-254" w:firstLine="533" w:firstLineChars="254"/>
              <w:textAlignment w:val="auto"/>
              <w:rPr>
                <w:rFonts w:ascii="宋体" w:hAnsi="宋体"/>
                <w:color w:val="auto"/>
                <w:szCs w:val="21"/>
                <w:highlight w:val="none"/>
              </w:rPr>
            </w:pPr>
            <w:r>
              <w:rPr>
                <w:rFonts w:hint="eastAsia" w:ascii="宋体" w:hAnsi="宋体"/>
                <w:color w:val="auto"/>
                <w:szCs w:val="21"/>
                <w:highlight w:val="none"/>
              </w:rPr>
              <w:t>磋商保证金</w:t>
            </w:r>
          </w:p>
        </w:tc>
        <w:tc>
          <w:tcPr>
            <w:tcW w:w="5162" w:type="dxa"/>
            <w:vAlign w:val="center"/>
          </w:tcPr>
          <w:p w14:paraId="1A34A9A4">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bCs/>
                <w:color w:val="auto"/>
                <w:szCs w:val="21"/>
                <w:highlight w:val="none"/>
              </w:rPr>
            </w:pPr>
            <w:r>
              <w:rPr>
                <w:rFonts w:hint="eastAsia" w:ascii="宋体" w:hAnsi="宋体"/>
                <w:color w:val="auto"/>
                <w:szCs w:val="21"/>
                <w:highlight w:val="none"/>
              </w:rPr>
              <w:t>■</w:t>
            </w:r>
            <w:r>
              <w:rPr>
                <w:rFonts w:hint="eastAsia" w:ascii="宋体" w:hAnsi="宋体"/>
                <w:bCs/>
                <w:color w:val="auto"/>
                <w:szCs w:val="21"/>
                <w:highlight w:val="none"/>
              </w:rPr>
              <w:t>不要求提供</w:t>
            </w:r>
          </w:p>
          <w:p w14:paraId="6C2A4457">
            <w:pPr>
              <w:keepNext w:val="0"/>
              <w:keepLines w:val="0"/>
              <w:pageBreakBefore w:val="0"/>
              <w:widowControl w:val="0"/>
              <w:kinsoku/>
              <w:wordWrap/>
              <w:overflowPunct/>
              <w:topLinePunct w:val="0"/>
              <w:autoSpaceDE/>
              <w:autoSpaceDN/>
              <w:bidi w:val="0"/>
              <w:spacing w:line="360" w:lineRule="exact"/>
              <w:textAlignment w:val="auto"/>
              <w:rPr>
                <w:rFonts w:ascii="宋体" w:hAnsi="宋体"/>
                <w:bCs/>
                <w:color w:val="auto"/>
                <w:szCs w:val="21"/>
                <w:highlight w:val="none"/>
              </w:rPr>
            </w:pPr>
            <w:r>
              <w:rPr>
                <w:rFonts w:hint="eastAsia" w:ascii="宋体" w:hAnsi="宋体"/>
                <w:color w:val="auto"/>
                <w:szCs w:val="21"/>
                <w:highlight w:val="none"/>
              </w:rPr>
              <w:t>□</w:t>
            </w:r>
            <w:r>
              <w:rPr>
                <w:rFonts w:ascii="宋体" w:hAnsi="宋体"/>
                <w:bCs/>
                <w:color w:val="auto"/>
                <w:szCs w:val="21"/>
                <w:highlight w:val="none"/>
              </w:rPr>
              <w:t xml:space="preserve"> </w:t>
            </w:r>
            <w:r>
              <w:rPr>
                <w:rFonts w:hint="eastAsia" w:ascii="宋体" w:hAnsi="宋体"/>
                <w:bCs/>
                <w:color w:val="auto"/>
                <w:szCs w:val="21"/>
                <w:highlight w:val="none"/>
              </w:rPr>
              <w:t>要求提供</w:t>
            </w:r>
          </w:p>
          <w:p w14:paraId="1F919516">
            <w:pPr>
              <w:keepNext w:val="0"/>
              <w:keepLines w:val="0"/>
              <w:pageBreakBefore w:val="0"/>
              <w:widowControl w:val="0"/>
              <w:kinsoku/>
              <w:wordWrap/>
              <w:overflowPunct/>
              <w:topLinePunct w:val="0"/>
              <w:autoSpaceDE/>
              <w:autoSpaceDN/>
              <w:bidi w:val="0"/>
              <w:spacing w:line="360" w:lineRule="exact"/>
              <w:textAlignment w:val="auto"/>
              <w:rPr>
                <w:rFonts w:ascii="宋体" w:hAnsi="宋体"/>
                <w:color w:val="auto"/>
                <w:szCs w:val="21"/>
                <w:highlight w:val="none"/>
              </w:rPr>
            </w:pPr>
            <w:r>
              <w:rPr>
                <w:rFonts w:ascii="宋体" w:hAnsi="宋体"/>
                <w:bCs/>
                <w:color w:val="auto"/>
                <w:szCs w:val="21"/>
                <w:highlight w:val="none"/>
              </w:rPr>
              <w:t>1</w:t>
            </w:r>
            <w:r>
              <w:rPr>
                <w:rFonts w:hint="eastAsia" w:ascii="宋体" w:hAnsi="宋体"/>
                <w:bCs/>
                <w:color w:val="auto"/>
                <w:szCs w:val="21"/>
                <w:highlight w:val="none"/>
              </w:rPr>
              <w:t>、</w:t>
            </w:r>
            <w:r>
              <w:rPr>
                <w:rFonts w:hint="eastAsia" w:ascii="宋体" w:hAnsi="宋体"/>
                <w:color w:val="auto"/>
                <w:szCs w:val="21"/>
                <w:highlight w:val="none"/>
              </w:rPr>
              <w:t>保证金数额：</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ascii="宋体" w:hAnsi="宋体"/>
                <w:color w:val="auto"/>
                <w:szCs w:val="21"/>
                <w:highlight w:val="none"/>
                <w:u w:val="single"/>
              </w:rPr>
              <w:t xml:space="preserve"> </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人民币</w:t>
            </w:r>
            <w:r>
              <w:rPr>
                <w:rFonts w:ascii="宋体" w:hAnsi="宋体"/>
                <w:color w:val="auto"/>
                <w:szCs w:val="21"/>
                <w:highlight w:val="none"/>
              </w:rPr>
              <w:t>)</w:t>
            </w:r>
          </w:p>
          <w:p w14:paraId="2FBFF9C3">
            <w:pPr>
              <w:keepNext w:val="0"/>
              <w:keepLines w:val="0"/>
              <w:pageBreakBefore w:val="0"/>
              <w:widowControl w:val="0"/>
              <w:kinsoku/>
              <w:wordWrap/>
              <w:overflowPunct/>
              <w:topLinePunct w:val="0"/>
              <w:autoSpaceDE/>
              <w:autoSpaceDN/>
              <w:bidi w:val="0"/>
              <w:spacing w:line="360" w:lineRule="exact"/>
              <w:ind w:right="23" w:rightChars="11"/>
              <w:textAlignment w:val="auto"/>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、缴纳方式：以支票、汇票、本票等形式缴入如下账户，</w:t>
            </w:r>
            <w:r>
              <w:rPr>
                <w:rFonts w:hint="eastAsia" w:ascii="宋体" w:hAnsi="宋体"/>
                <w:color w:val="auto"/>
                <w:szCs w:val="21"/>
                <w:highlight w:val="none"/>
                <w:lang w:eastAsia="zh-CN"/>
              </w:rPr>
              <w:t>供应商</w:t>
            </w:r>
            <w:r>
              <w:rPr>
                <w:rFonts w:hint="eastAsia" w:ascii="宋体" w:hAnsi="宋体"/>
                <w:color w:val="auto"/>
                <w:szCs w:val="21"/>
                <w:highlight w:val="none"/>
              </w:rPr>
              <w:t>须确保投标保证金在投标截止时间前（含）到达，查询已经到账的，视为已缴纳。</w:t>
            </w:r>
          </w:p>
          <w:p w14:paraId="78564CE8">
            <w:pPr>
              <w:keepNext w:val="0"/>
              <w:keepLines w:val="0"/>
              <w:pageBreakBefore w:val="0"/>
              <w:widowControl w:val="0"/>
              <w:kinsoku/>
              <w:wordWrap/>
              <w:overflowPunct/>
              <w:topLinePunct w:val="0"/>
              <w:autoSpaceDE/>
              <w:autoSpaceDN/>
              <w:bidi w:val="0"/>
              <w:spacing w:line="360" w:lineRule="exact"/>
              <w:textAlignment w:val="auto"/>
              <w:rPr>
                <w:rFonts w:ascii="宋体" w:hAnsi="宋体"/>
                <w:color w:val="auto"/>
                <w:szCs w:val="21"/>
                <w:highlight w:val="none"/>
              </w:rPr>
            </w:pPr>
            <w:r>
              <w:rPr>
                <w:rFonts w:hint="eastAsia" w:ascii="宋体" w:hAnsi="宋体"/>
                <w:color w:val="auto"/>
                <w:szCs w:val="21"/>
                <w:highlight w:val="none"/>
              </w:rPr>
              <w:t>保证金汇至：</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ascii="宋体" w:hAnsi="宋体"/>
                <w:color w:val="auto"/>
                <w:szCs w:val="21"/>
                <w:highlight w:val="none"/>
                <w:u w:val="single"/>
              </w:rPr>
              <w:t xml:space="preserve"> </w:t>
            </w:r>
          </w:p>
          <w:p w14:paraId="0D737AB4">
            <w:pPr>
              <w:keepNext w:val="0"/>
              <w:keepLines w:val="0"/>
              <w:pageBreakBefore w:val="0"/>
              <w:widowControl w:val="0"/>
              <w:kinsoku/>
              <w:wordWrap/>
              <w:overflowPunct/>
              <w:topLinePunct w:val="0"/>
              <w:autoSpaceDE/>
              <w:autoSpaceDN/>
              <w:bidi w:val="0"/>
              <w:spacing w:line="360" w:lineRule="exact"/>
              <w:textAlignment w:val="auto"/>
              <w:rPr>
                <w:rFonts w:ascii="宋体" w:hAnsi="宋体"/>
                <w:color w:val="auto"/>
                <w:szCs w:val="21"/>
                <w:highlight w:val="none"/>
                <w:u w:val="single"/>
              </w:rPr>
            </w:pPr>
            <w:r>
              <w:rPr>
                <w:rFonts w:hint="eastAsia" w:ascii="宋体" w:hAnsi="宋体"/>
                <w:color w:val="auto"/>
                <w:szCs w:val="21"/>
                <w:highlight w:val="none"/>
              </w:rPr>
              <w:t>开</w:t>
            </w:r>
            <w:r>
              <w:rPr>
                <w:rFonts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户</w:t>
            </w:r>
            <w:r>
              <w:rPr>
                <w:rFonts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行：</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ascii="宋体" w:hAnsi="宋体"/>
                <w:color w:val="auto"/>
                <w:szCs w:val="21"/>
                <w:highlight w:val="none"/>
                <w:u w:val="single"/>
              </w:rPr>
              <w:t xml:space="preserve"> </w:t>
            </w:r>
          </w:p>
          <w:p w14:paraId="4CC3FE35">
            <w:pPr>
              <w:keepNext w:val="0"/>
              <w:keepLines w:val="0"/>
              <w:pageBreakBefore w:val="0"/>
              <w:widowControl w:val="0"/>
              <w:kinsoku/>
              <w:wordWrap/>
              <w:overflowPunct/>
              <w:topLinePunct w:val="0"/>
              <w:autoSpaceDE/>
              <w:autoSpaceDN/>
              <w:bidi w:val="0"/>
              <w:spacing w:line="360" w:lineRule="exact"/>
              <w:textAlignment w:val="auto"/>
              <w:rPr>
                <w:rFonts w:ascii="宋体" w:hAnsi="宋体"/>
                <w:color w:val="auto"/>
                <w:szCs w:val="21"/>
                <w:highlight w:val="none"/>
              </w:rPr>
            </w:pPr>
            <w:r>
              <w:rPr>
                <w:rFonts w:hint="eastAsia" w:ascii="宋体" w:hAnsi="宋体"/>
                <w:color w:val="auto"/>
                <w:szCs w:val="21"/>
                <w:highlight w:val="none"/>
              </w:rPr>
              <w:t>银</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行</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帐号：</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ascii="宋体" w:hAnsi="宋体"/>
                <w:color w:val="auto"/>
                <w:szCs w:val="21"/>
                <w:highlight w:val="none"/>
                <w:u w:val="single"/>
              </w:rPr>
              <w:t xml:space="preserve"> </w:t>
            </w:r>
          </w:p>
          <w:p w14:paraId="6A7CD05E">
            <w:pPr>
              <w:keepNext w:val="0"/>
              <w:keepLines w:val="0"/>
              <w:pageBreakBefore w:val="0"/>
              <w:widowControl w:val="0"/>
              <w:kinsoku/>
              <w:wordWrap/>
              <w:overflowPunct/>
              <w:topLinePunct w:val="0"/>
              <w:autoSpaceDE/>
              <w:autoSpaceDN/>
              <w:bidi w:val="0"/>
              <w:spacing w:line="360" w:lineRule="exact"/>
              <w:textAlignment w:val="auto"/>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、未按时足额缴纳保证金的，其响应文件将被拒绝。</w:t>
            </w:r>
          </w:p>
        </w:tc>
      </w:tr>
      <w:tr w14:paraId="70D55A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258481A0">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20.1</w:t>
            </w:r>
            <w:r>
              <w:rPr>
                <w:rFonts w:hint="eastAsia" w:ascii="宋体" w:hAnsi="宋体"/>
                <w:color w:val="auto"/>
                <w:szCs w:val="21"/>
                <w:highlight w:val="none"/>
              </w:rPr>
              <w:t>款</w:t>
            </w:r>
          </w:p>
        </w:tc>
        <w:tc>
          <w:tcPr>
            <w:tcW w:w="1985" w:type="dxa"/>
            <w:vAlign w:val="center"/>
          </w:tcPr>
          <w:p w14:paraId="3C2DA04F">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bCs/>
                <w:color w:val="auto"/>
                <w:szCs w:val="21"/>
                <w:highlight w:val="none"/>
              </w:rPr>
            </w:pPr>
            <w:r>
              <w:rPr>
                <w:rFonts w:hint="eastAsia" w:ascii="宋体" w:hAnsi="宋体"/>
                <w:bCs/>
                <w:color w:val="auto"/>
                <w:szCs w:val="21"/>
                <w:highlight w:val="none"/>
              </w:rPr>
              <w:t>响应文件有效期</w:t>
            </w:r>
          </w:p>
        </w:tc>
        <w:tc>
          <w:tcPr>
            <w:tcW w:w="5162" w:type="dxa"/>
            <w:vAlign w:val="center"/>
          </w:tcPr>
          <w:p w14:paraId="62795CFE">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bCs/>
                <w:color w:val="auto"/>
                <w:szCs w:val="21"/>
                <w:highlight w:val="none"/>
              </w:rPr>
            </w:pPr>
            <w:r>
              <w:rPr>
                <w:rFonts w:ascii="宋体" w:hAnsi="宋体"/>
                <w:color w:val="auto"/>
                <w:szCs w:val="21"/>
                <w:highlight w:val="none"/>
                <w:u w:val="single"/>
              </w:rPr>
              <w:t>90</w:t>
            </w:r>
            <w:r>
              <w:rPr>
                <w:rFonts w:hint="eastAsia" w:ascii="宋体" w:hAnsi="宋体"/>
                <w:color w:val="auto"/>
                <w:szCs w:val="21"/>
                <w:highlight w:val="none"/>
              </w:rPr>
              <w:t>日（日历日）</w:t>
            </w:r>
          </w:p>
        </w:tc>
      </w:tr>
      <w:tr w14:paraId="6F699C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74804EF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21.1</w:t>
            </w:r>
            <w:r>
              <w:rPr>
                <w:rFonts w:hint="eastAsia" w:ascii="宋体" w:hAnsi="宋体"/>
                <w:color w:val="auto"/>
                <w:szCs w:val="21"/>
                <w:highlight w:val="none"/>
              </w:rPr>
              <w:t>款</w:t>
            </w:r>
          </w:p>
        </w:tc>
        <w:tc>
          <w:tcPr>
            <w:tcW w:w="1985" w:type="dxa"/>
            <w:vAlign w:val="center"/>
          </w:tcPr>
          <w:p w14:paraId="2BA621DA">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bCs/>
                <w:color w:val="auto"/>
                <w:szCs w:val="21"/>
                <w:highlight w:val="none"/>
              </w:rPr>
              <w:t>响应</w:t>
            </w:r>
            <w:r>
              <w:rPr>
                <w:rFonts w:hint="eastAsia" w:ascii="宋体" w:hAnsi="宋体"/>
                <w:color w:val="auto"/>
                <w:szCs w:val="21"/>
                <w:highlight w:val="none"/>
              </w:rPr>
              <w:t>文件副本份数</w:t>
            </w:r>
          </w:p>
        </w:tc>
        <w:tc>
          <w:tcPr>
            <w:tcW w:w="5162" w:type="dxa"/>
            <w:vAlign w:val="center"/>
          </w:tcPr>
          <w:p w14:paraId="1CD51BB5">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u w:val="single"/>
              </w:rPr>
            </w:pPr>
            <w:r>
              <w:rPr>
                <w:rFonts w:hint="eastAsia" w:ascii="宋体" w:hAnsi="宋体"/>
                <w:color w:val="auto"/>
                <w:szCs w:val="21"/>
                <w:highlight w:val="none"/>
              </w:rPr>
              <w:t>正本一份，副本二份（电子文件</w:t>
            </w:r>
            <w:r>
              <w:rPr>
                <w:rFonts w:ascii="宋体" w:hAnsi="宋体"/>
                <w:color w:val="auto"/>
                <w:szCs w:val="21"/>
                <w:highlight w:val="none"/>
              </w:rPr>
              <w:t>1</w:t>
            </w:r>
            <w:r>
              <w:rPr>
                <w:rFonts w:hint="eastAsia" w:ascii="宋体" w:hAnsi="宋体"/>
                <w:color w:val="auto"/>
                <w:szCs w:val="21"/>
                <w:highlight w:val="none"/>
              </w:rPr>
              <w:t>份，</w:t>
            </w:r>
            <w:r>
              <w:rPr>
                <w:rFonts w:ascii="宋体" w:hAnsi="宋体"/>
                <w:color w:val="auto"/>
                <w:szCs w:val="21"/>
                <w:highlight w:val="none"/>
              </w:rPr>
              <w:t>U</w:t>
            </w:r>
            <w:r>
              <w:rPr>
                <w:rFonts w:hint="eastAsia" w:ascii="宋体" w:hAnsi="宋体"/>
                <w:color w:val="auto"/>
                <w:szCs w:val="21"/>
                <w:highlight w:val="none"/>
              </w:rPr>
              <w:t>盘，</w:t>
            </w:r>
            <w:r>
              <w:rPr>
                <w:rFonts w:ascii="宋体" w:hAnsi="宋体"/>
                <w:color w:val="auto"/>
                <w:szCs w:val="21"/>
                <w:highlight w:val="none"/>
              </w:rPr>
              <w:t>格式为</w:t>
            </w:r>
            <w:r>
              <w:rPr>
                <w:rFonts w:hint="eastAsia" w:ascii="宋体" w:hAnsi="宋体"/>
                <w:color w:val="auto"/>
                <w:szCs w:val="21"/>
                <w:highlight w:val="none"/>
              </w:rPr>
              <w:t>正本签字盖章后的扫描件</w:t>
            </w:r>
            <w:r>
              <w:rPr>
                <w:rFonts w:ascii="宋体" w:hAnsi="宋体"/>
                <w:color w:val="auto"/>
                <w:szCs w:val="21"/>
                <w:highlight w:val="none"/>
              </w:rPr>
              <w:t>PDF格式）</w:t>
            </w:r>
            <w:r>
              <w:rPr>
                <w:rFonts w:hint="eastAsia" w:ascii="宋体" w:hAnsi="宋体"/>
                <w:color w:val="auto"/>
                <w:szCs w:val="21"/>
                <w:highlight w:val="none"/>
                <w:lang w:eastAsia="zh-CN"/>
              </w:rPr>
              <w:t>；</w:t>
            </w:r>
            <w:r>
              <w:rPr>
                <w:rFonts w:ascii="宋体" w:hAnsi="宋体"/>
                <w:color w:val="auto"/>
                <w:szCs w:val="21"/>
                <w:highlight w:val="none"/>
              </w:rPr>
              <w:t>采用胶装装订方式，提倡双面打印。</w:t>
            </w:r>
          </w:p>
        </w:tc>
      </w:tr>
      <w:tr w14:paraId="6A806C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991" w:type="dxa"/>
            <w:gridSpan w:val="3"/>
            <w:vAlign w:val="center"/>
          </w:tcPr>
          <w:p w14:paraId="4E04E3D4">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b/>
                <w:bCs/>
                <w:color w:val="auto"/>
                <w:szCs w:val="21"/>
                <w:highlight w:val="none"/>
              </w:rPr>
            </w:pPr>
            <w:r>
              <w:rPr>
                <w:rFonts w:hint="eastAsia" w:ascii="宋体" w:hAnsi="宋体"/>
                <w:b/>
                <w:color w:val="auto"/>
                <w:szCs w:val="21"/>
                <w:highlight w:val="none"/>
              </w:rPr>
              <w:t>四、响应文件的递交</w:t>
            </w:r>
          </w:p>
        </w:tc>
      </w:tr>
      <w:tr w14:paraId="7A3BAE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2F744A5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22.2</w:t>
            </w:r>
            <w:r>
              <w:rPr>
                <w:rFonts w:hint="eastAsia" w:ascii="宋体" w:hAnsi="宋体"/>
                <w:color w:val="auto"/>
                <w:szCs w:val="21"/>
                <w:highlight w:val="none"/>
              </w:rPr>
              <w:t>款</w:t>
            </w:r>
          </w:p>
        </w:tc>
        <w:tc>
          <w:tcPr>
            <w:tcW w:w="1985" w:type="dxa"/>
            <w:vAlign w:val="center"/>
          </w:tcPr>
          <w:p w14:paraId="2919E05C">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封套上应载明的信息</w:t>
            </w:r>
          </w:p>
        </w:tc>
        <w:tc>
          <w:tcPr>
            <w:tcW w:w="5162" w:type="dxa"/>
            <w:vAlign w:val="center"/>
          </w:tcPr>
          <w:p w14:paraId="185B1B2D">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ascii="宋体" w:hAnsi="宋体"/>
                <w:color w:val="auto"/>
                <w:szCs w:val="21"/>
                <w:highlight w:val="none"/>
                <w:u w:val="single"/>
              </w:rPr>
              <w:t xml:space="preserve">            </w:t>
            </w:r>
            <w:r>
              <w:rPr>
                <w:rFonts w:hint="eastAsia" w:ascii="宋体" w:hAnsi="宋体"/>
                <w:color w:val="auto"/>
                <w:szCs w:val="21"/>
                <w:highlight w:val="none"/>
              </w:rPr>
              <w:t>采购项目响应文件</w:t>
            </w:r>
            <w:r>
              <w:rPr>
                <w:rFonts w:ascii="宋体" w:hAnsi="宋体"/>
                <w:color w:val="auto"/>
                <w:szCs w:val="21"/>
                <w:highlight w:val="none"/>
              </w:rPr>
              <w:t xml:space="preserve">     </w:t>
            </w:r>
          </w:p>
          <w:p w14:paraId="7A0682E6">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color w:val="auto"/>
                <w:szCs w:val="21"/>
                <w:highlight w:val="none"/>
                <w:u w:val="single"/>
                <w:lang w:val="en-US" w:eastAsia="zh-CN"/>
              </w:rPr>
            </w:pPr>
            <w:r>
              <w:rPr>
                <w:rFonts w:hint="eastAsia" w:ascii="宋体" w:hAnsi="宋体"/>
                <w:color w:val="auto"/>
                <w:szCs w:val="21"/>
                <w:highlight w:val="none"/>
              </w:rPr>
              <w:t>采购代理编号：</w:t>
            </w:r>
            <w:r>
              <w:rPr>
                <w:rFonts w:hint="eastAsia" w:ascii="宋体" w:hAnsi="宋体"/>
                <w:color w:val="auto"/>
                <w:szCs w:val="21"/>
                <w:highlight w:val="none"/>
                <w:u w:val="single"/>
                <w:lang w:val="en-US" w:eastAsia="zh-CN"/>
              </w:rPr>
              <w:t xml:space="preserve">       </w:t>
            </w:r>
          </w:p>
          <w:p w14:paraId="4E549425">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u w:val="single"/>
              </w:rPr>
              <w:t xml:space="preserve">                    </w:t>
            </w:r>
          </w:p>
          <w:p w14:paraId="50AE421A">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u w:val="single"/>
                <w:lang w:val="en-US" w:eastAsia="zh-CN"/>
              </w:rPr>
              <w:t>2026</w:t>
            </w:r>
            <w:r>
              <w:rPr>
                <w:rFonts w:hint="eastAsia" w:ascii="宋体" w:hAnsi="宋体"/>
                <w:color w:val="auto"/>
                <w:szCs w:val="21"/>
                <w:highlight w:val="none"/>
              </w:rPr>
              <w:t>年</w:t>
            </w:r>
            <w:r>
              <w:rPr>
                <w:rFonts w:hint="eastAsia" w:ascii="宋体" w:hAnsi="宋体"/>
                <w:color w:val="auto"/>
                <w:szCs w:val="21"/>
                <w:highlight w:val="none"/>
                <w:u w:val="single"/>
                <w:lang w:val="en-US" w:eastAsia="zh-CN"/>
              </w:rPr>
              <w:t xml:space="preserve">8月   </w:t>
            </w:r>
            <w:r>
              <w:rPr>
                <w:rFonts w:hint="eastAsia" w:ascii="宋体" w:hAnsi="宋体"/>
                <w:color w:val="auto"/>
                <w:szCs w:val="21"/>
                <w:highlight w:val="none"/>
              </w:rPr>
              <w:t>日</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时</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分之前不得启封</w:t>
            </w:r>
          </w:p>
        </w:tc>
      </w:tr>
      <w:tr w14:paraId="782580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7AA6D75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24.1</w:t>
            </w:r>
            <w:r>
              <w:rPr>
                <w:rFonts w:hint="eastAsia" w:ascii="宋体" w:hAnsi="宋体"/>
                <w:color w:val="auto"/>
                <w:szCs w:val="21"/>
                <w:highlight w:val="none"/>
              </w:rPr>
              <w:t>款</w:t>
            </w:r>
          </w:p>
        </w:tc>
        <w:tc>
          <w:tcPr>
            <w:tcW w:w="1985" w:type="dxa"/>
            <w:vAlign w:val="center"/>
          </w:tcPr>
          <w:p w14:paraId="5C2175A1">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响应文件的递交地点</w:t>
            </w:r>
          </w:p>
        </w:tc>
        <w:tc>
          <w:tcPr>
            <w:tcW w:w="5162" w:type="dxa"/>
            <w:vAlign w:val="center"/>
          </w:tcPr>
          <w:p w14:paraId="2CBA2265">
            <w:pPr>
              <w:adjustRightInd w:val="0"/>
              <w:snapToGrid w:val="0"/>
              <w:spacing w:line="400" w:lineRule="exact"/>
              <w:ind w:firstLine="210" w:firstLineChars="100"/>
              <w:rPr>
                <w:rFonts w:ascii="宋体" w:hAnsi="宋体"/>
                <w:bCs/>
                <w:color w:val="auto"/>
                <w:szCs w:val="21"/>
                <w:highlight w:val="none"/>
              </w:rPr>
            </w:pPr>
            <w:r>
              <w:rPr>
                <w:rFonts w:hint="eastAsia" w:ascii="宋体" w:hAnsi="宋体"/>
                <w:color w:val="auto"/>
                <w:highlight w:val="none"/>
                <w:lang w:eastAsia="zh-CN"/>
              </w:rPr>
              <w:t>湖南金瑞项目管理有限公司</w:t>
            </w:r>
            <w:r>
              <w:rPr>
                <w:rFonts w:hint="eastAsia" w:ascii="宋体" w:hAnsi="宋体"/>
                <w:b/>
                <w:bCs/>
                <w:color w:val="auto"/>
                <w:szCs w:val="21"/>
                <w:highlight w:val="none"/>
                <w:u w:val="none"/>
                <w:lang w:eastAsia="zh-CN"/>
              </w:rPr>
              <w:t>（</w:t>
            </w:r>
            <w:r>
              <w:rPr>
                <w:rFonts w:hint="eastAsia" w:ascii="宋体" w:hAnsi="宋体" w:eastAsia="宋体" w:cs="Times New Roman"/>
                <w:color w:val="auto"/>
                <w:szCs w:val="21"/>
                <w:highlight w:val="none"/>
                <w:lang w:eastAsia="zh-CN"/>
              </w:rPr>
              <w:t>湖南省长沙市长沙县人民东路二段169号长沙铭诚绿谷智慧产业园15栋401</w:t>
            </w:r>
            <w:r>
              <w:rPr>
                <w:rFonts w:hint="eastAsia" w:ascii="宋体" w:hAnsi="宋体" w:eastAsia="宋体" w:cs="Times New Roman"/>
                <w:color w:val="auto"/>
                <w:highlight w:val="none"/>
                <w:u w:val="none"/>
                <w:lang w:eastAsia="zh-CN"/>
              </w:rPr>
              <w:t>）</w:t>
            </w:r>
          </w:p>
        </w:tc>
      </w:tr>
      <w:tr w14:paraId="4C84B4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991" w:type="dxa"/>
            <w:gridSpan w:val="3"/>
            <w:vAlign w:val="center"/>
          </w:tcPr>
          <w:p w14:paraId="5F18D2AC">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b/>
                <w:bCs/>
                <w:color w:val="auto"/>
                <w:szCs w:val="21"/>
                <w:highlight w:val="none"/>
              </w:rPr>
            </w:pPr>
            <w:r>
              <w:rPr>
                <w:rFonts w:hint="eastAsia" w:ascii="宋体" w:hAnsi="宋体"/>
                <w:b/>
                <w:bCs/>
                <w:color w:val="auto"/>
                <w:szCs w:val="21"/>
                <w:highlight w:val="none"/>
              </w:rPr>
              <w:t>五、响应文件的磋商与评审</w:t>
            </w:r>
          </w:p>
        </w:tc>
      </w:tr>
      <w:tr w14:paraId="0EAA64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369716B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31.2</w:t>
            </w:r>
            <w:r>
              <w:rPr>
                <w:rFonts w:hint="eastAsia" w:ascii="宋体" w:hAnsi="宋体"/>
                <w:color w:val="auto"/>
                <w:szCs w:val="21"/>
                <w:highlight w:val="none"/>
              </w:rPr>
              <w:t>款</w:t>
            </w:r>
          </w:p>
        </w:tc>
        <w:tc>
          <w:tcPr>
            <w:tcW w:w="1985" w:type="dxa"/>
            <w:vAlign w:val="center"/>
          </w:tcPr>
          <w:p w14:paraId="435D5BD1">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评审因素和标准</w:t>
            </w:r>
          </w:p>
        </w:tc>
        <w:tc>
          <w:tcPr>
            <w:tcW w:w="5162" w:type="dxa"/>
            <w:vAlign w:val="center"/>
          </w:tcPr>
          <w:p w14:paraId="26BACD10">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bCs/>
                <w:color w:val="auto"/>
                <w:szCs w:val="21"/>
                <w:highlight w:val="none"/>
              </w:rPr>
            </w:pPr>
            <w:r>
              <w:rPr>
                <w:rFonts w:hint="eastAsia" w:ascii="宋体" w:hAnsi="宋体"/>
                <w:bCs/>
                <w:color w:val="auto"/>
                <w:szCs w:val="21"/>
                <w:highlight w:val="none"/>
              </w:rPr>
              <w:t>见附页</w:t>
            </w:r>
            <w:r>
              <w:rPr>
                <w:rFonts w:ascii="宋体" w:hAnsi="宋体"/>
                <w:bCs/>
                <w:color w:val="auto"/>
                <w:szCs w:val="21"/>
                <w:highlight w:val="none"/>
              </w:rPr>
              <w:t>4</w:t>
            </w:r>
          </w:p>
        </w:tc>
      </w:tr>
      <w:tr w14:paraId="61AAFD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6E5AAE6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31.3</w:t>
            </w:r>
            <w:r>
              <w:rPr>
                <w:rFonts w:hint="eastAsia" w:ascii="宋体" w:hAnsi="宋体"/>
                <w:color w:val="auto"/>
                <w:szCs w:val="21"/>
                <w:highlight w:val="none"/>
              </w:rPr>
              <w:t>款</w:t>
            </w:r>
          </w:p>
        </w:tc>
        <w:tc>
          <w:tcPr>
            <w:tcW w:w="1985" w:type="dxa"/>
            <w:vAlign w:val="center"/>
          </w:tcPr>
          <w:p w14:paraId="02254908">
            <w:pPr>
              <w:keepNext w:val="0"/>
              <w:keepLines w:val="0"/>
              <w:pageBreakBefore w:val="0"/>
              <w:widowControl w:val="0"/>
              <w:kinsoku/>
              <w:wordWrap/>
              <w:overflowPunct/>
              <w:topLinePunct w:val="0"/>
              <w:autoSpaceDE/>
              <w:autoSpaceDN/>
              <w:bidi w:val="0"/>
              <w:adjustRightInd w:val="0"/>
              <w:snapToGrid w:val="0"/>
              <w:spacing w:before="0" w:beforeLines="-2147483648" w:line="360" w:lineRule="exact"/>
              <w:jc w:val="center"/>
              <w:textAlignment w:val="auto"/>
              <w:rPr>
                <w:rFonts w:ascii="宋体" w:hAnsi="宋体"/>
                <w:color w:val="auto"/>
                <w:szCs w:val="21"/>
                <w:highlight w:val="none"/>
              </w:rPr>
            </w:pPr>
            <w:r>
              <w:rPr>
                <w:rFonts w:hint="eastAsia" w:ascii="宋体" w:hAnsi="宋体" w:cs="宋体"/>
                <w:color w:val="auto"/>
                <w:kern w:val="0"/>
                <w:szCs w:val="21"/>
                <w:highlight w:val="none"/>
              </w:rPr>
              <w:t>最后报价</w:t>
            </w:r>
            <w:r>
              <w:rPr>
                <w:rFonts w:hint="eastAsia" w:ascii="宋体" w:hAnsi="宋体"/>
                <w:color w:val="auto"/>
                <w:szCs w:val="21"/>
                <w:highlight w:val="none"/>
              </w:rPr>
              <w:t>调整</w:t>
            </w:r>
          </w:p>
        </w:tc>
        <w:tc>
          <w:tcPr>
            <w:tcW w:w="5162" w:type="dxa"/>
            <w:vAlign w:val="center"/>
          </w:tcPr>
          <w:p w14:paraId="0C0D64C5">
            <w:pPr>
              <w:pStyle w:val="57"/>
              <w:ind w:left="0" w:leftChars="0" w:firstLine="0" w:firstLineChars="0"/>
              <w:rPr>
                <w:rFonts w:ascii="宋体" w:hAnsi="宋体"/>
                <w:color w:val="auto"/>
                <w:szCs w:val="21"/>
                <w:highlight w:val="none"/>
              </w:rPr>
            </w:pPr>
            <w:r>
              <w:rPr>
                <w:rFonts w:hint="eastAsia" w:ascii="宋体" w:hAnsi="宋体" w:cs="宋体"/>
                <w:bCs/>
                <w:color w:val="auto"/>
                <w:kern w:val="0"/>
                <w:szCs w:val="21"/>
                <w:highlight w:val="none"/>
              </w:rPr>
              <w:t>政府采购支持中小企业发展</w:t>
            </w:r>
            <w:r>
              <w:rPr>
                <w:rFonts w:hint="eastAsia" w:ascii="宋体" w:hAnsi="宋体"/>
                <w:color w:val="auto"/>
                <w:szCs w:val="21"/>
                <w:highlight w:val="none"/>
              </w:rPr>
              <w:t>（货物类供应商和产品制造商应同时满足中小微企业的条件）</w:t>
            </w:r>
            <w:r>
              <w:rPr>
                <w:rFonts w:hint="eastAsia" w:ascii="宋体" w:hAnsi="宋体" w:cs="宋体"/>
                <w:bCs/>
                <w:color w:val="auto"/>
                <w:kern w:val="0"/>
                <w:szCs w:val="21"/>
                <w:highlight w:val="none"/>
              </w:rPr>
              <w:t>：</w:t>
            </w:r>
            <w:r>
              <w:rPr>
                <w:rFonts w:hint="eastAsia" w:ascii="宋体" w:hAnsi="宋体"/>
                <w:color w:val="auto"/>
                <w:szCs w:val="21"/>
                <w:highlight w:val="none"/>
              </w:rPr>
              <w:t>小型或微型企业，</w:t>
            </w:r>
            <w:r>
              <w:rPr>
                <w:rFonts w:hint="eastAsia" w:ascii="宋体" w:hAnsi="宋体" w:cs="宋体"/>
                <w:color w:val="auto"/>
                <w:kern w:val="0"/>
                <w:szCs w:val="21"/>
                <w:highlight w:val="none"/>
              </w:rPr>
              <w:t>最后报价</w:t>
            </w:r>
            <w:r>
              <w:rPr>
                <w:rFonts w:hint="eastAsia" w:ascii="宋体" w:hAnsi="宋体"/>
                <w:color w:val="auto"/>
                <w:szCs w:val="21"/>
                <w:highlight w:val="none"/>
              </w:rPr>
              <w:t>扣除比例为</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10</w:t>
            </w:r>
            <w:r>
              <w:rPr>
                <w:rFonts w:ascii="宋体" w:hAnsi="宋体"/>
                <w:color w:val="auto"/>
                <w:szCs w:val="21"/>
                <w:highlight w:val="none"/>
                <w:u w:val="single"/>
              </w:rPr>
              <w:t xml:space="preserve"> </w:t>
            </w:r>
            <w:r>
              <w:rPr>
                <w:rFonts w:hint="eastAsia" w:ascii="宋体" w:hAnsi="宋体"/>
                <w:color w:val="auto"/>
                <w:szCs w:val="21"/>
                <w:highlight w:val="none"/>
              </w:rPr>
              <w:t>％；联合体参与磋商的，最后报价扣除比例为</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ascii="宋体" w:hAnsi="宋体"/>
                <w:color w:val="auto"/>
                <w:szCs w:val="21"/>
                <w:highlight w:val="none"/>
                <w:u w:val="single"/>
              </w:rPr>
              <w:t xml:space="preserve"> </w:t>
            </w:r>
            <w:r>
              <w:rPr>
                <w:rFonts w:ascii="宋体" w:hAnsi="宋体"/>
                <w:color w:val="auto"/>
                <w:szCs w:val="21"/>
                <w:highlight w:val="none"/>
              </w:rPr>
              <w:t>%</w:t>
            </w:r>
            <w:r>
              <w:rPr>
                <w:rFonts w:hint="eastAsia" w:ascii="宋体" w:hAnsi="宋体"/>
                <w:color w:val="auto"/>
                <w:szCs w:val="21"/>
                <w:highlight w:val="none"/>
              </w:rPr>
              <w:t>。评审时，用扣除后的最后报价计算价格分。</w:t>
            </w:r>
            <w:r>
              <w:rPr>
                <w:rFonts w:hint="eastAsia" w:ascii="宋体" w:hAnsi="宋体" w:cs="宋体"/>
                <w:color w:val="auto"/>
                <w:sz w:val="22"/>
                <w:szCs w:val="22"/>
                <w:highlight w:val="none"/>
                <w:lang w:val="en-US" w:eastAsia="zh-CN"/>
              </w:rPr>
              <w:t>本项目所属行业：建筑业</w:t>
            </w:r>
          </w:p>
        </w:tc>
      </w:tr>
      <w:tr w14:paraId="64D507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1C8584A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31.5</w:t>
            </w:r>
            <w:r>
              <w:rPr>
                <w:rFonts w:hint="eastAsia" w:ascii="宋体" w:hAnsi="宋体"/>
                <w:color w:val="auto"/>
                <w:szCs w:val="21"/>
                <w:highlight w:val="none"/>
              </w:rPr>
              <w:t>款</w:t>
            </w:r>
          </w:p>
        </w:tc>
        <w:tc>
          <w:tcPr>
            <w:tcW w:w="1985" w:type="dxa"/>
            <w:vAlign w:val="center"/>
          </w:tcPr>
          <w:p w14:paraId="34323507">
            <w:pPr>
              <w:keepNext w:val="0"/>
              <w:keepLines w:val="0"/>
              <w:pageBreakBefore w:val="0"/>
              <w:widowControl w:val="0"/>
              <w:kinsoku/>
              <w:wordWrap/>
              <w:overflowPunct/>
              <w:topLinePunct w:val="0"/>
              <w:autoSpaceDE/>
              <w:autoSpaceDN/>
              <w:bidi w:val="0"/>
              <w:adjustRightInd w:val="0"/>
              <w:snapToGrid w:val="0"/>
              <w:spacing w:before="0" w:beforeLines="-2147483648" w:line="360" w:lineRule="exact"/>
              <w:jc w:val="center"/>
              <w:textAlignment w:val="auto"/>
              <w:rPr>
                <w:rFonts w:ascii="宋体" w:hAnsi="宋体"/>
                <w:color w:val="auto"/>
                <w:szCs w:val="21"/>
                <w:highlight w:val="none"/>
              </w:rPr>
            </w:pPr>
            <w:r>
              <w:rPr>
                <w:rFonts w:hint="eastAsia" w:ascii="宋体" w:hAnsi="宋体"/>
                <w:color w:val="auto"/>
                <w:szCs w:val="21"/>
                <w:highlight w:val="none"/>
              </w:rPr>
              <w:t>技术、商务、价格</w:t>
            </w:r>
            <w:r>
              <w:rPr>
                <w:rFonts w:hint="eastAsia" w:ascii="宋体" w:hAnsi="宋体" w:cs="宋体"/>
                <w:color w:val="auto"/>
                <w:kern w:val="0"/>
                <w:szCs w:val="21"/>
                <w:highlight w:val="none"/>
              </w:rPr>
              <w:t>得分或总得分</w:t>
            </w:r>
            <w:r>
              <w:rPr>
                <w:rFonts w:hint="eastAsia" w:ascii="宋体" w:hAnsi="宋体"/>
                <w:color w:val="auto"/>
                <w:szCs w:val="21"/>
                <w:highlight w:val="none"/>
              </w:rPr>
              <w:t>调整</w:t>
            </w:r>
          </w:p>
        </w:tc>
        <w:tc>
          <w:tcPr>
            <w:tcW w:w="5162" w:type="dxa"/>
            <w:vAlign w:val="center"/>
          </w:tcPr>
          <w:p w14:paraId="558844B0">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本项目不适用</w:t>
            </w:r>
          </w:p>
        </w:tc>
      </w:tr>
      <w:tr w14:paraId="5B55FE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25A9C07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31.6</w:t>
            </w:r>
            <w:r>
              <w:rPr>
                <w:rFonts w:hint="eastAsia" w:ascii="宋体" w:hAnsi="宋体"/>
                <w:color w:val="auto"/>
                <w:szCs w:val="21"/>
                <w:highlight w:val="none"/>
              </w:rPr>
              <w:t>款</w:t>
            </w:r>
          </w:p>
        </w:tc>
        <w:tc>
          <w:tcPr>
            <w:tcW w:w="1985" w:type="dxa"/>
            <w:vAlign w:val="center"/>
          </w:tcPr>
          <w:p w14:paraId="7977F8E3">
            <w:pPr>
              <w:keepNext w:val="0"/>
              <w:keepLines w:val="0"/>
              <w:pageBreakBefore w:val="0"/>
              <w:widowControl w:val="0"/>
              <w:kinsoku/>
              <w:wordWrap/>
              <w:overflowPunct/>
              <w:topLinePunct w:val="0"/>
              <w:autoSpaceDE/>
              <w:autoSpaceDN/>
              <w:bidi w:val="0"/>
              <w:adjustRightInd w:val="0"/>
              <w:snapToGrid w:val="0"/>
              <w:spacing w:before="0" w:line="360" w:lineRule="exact"/>
              <w:jc w:val="center"/>
              <w:textAlignment w:val="auto"/>
              <w:rPr>
                <w:rFonts w:ascii="宋体" w:hAnsi="宋体"/>
                <w:color w:val="auto"/>
                <w:szCs w:val="21"/>
                <w:highlight w:val="none"/>
              </w:rPr>
            </w:pPr>
            <w:r>
              <w:rPr>
                <w:rFonts w:hint="eastAsia" w:ascii="宋体" w:hAnsi="宋体"/>
                <w:color w:val="auto"/>
                <w:szCs w:val="21"/>
                <w:highlight w:val="none"/>
              </w:rPr>
              <w:t>多处或部分获得政府采购政策优惠的计算方法</w:t>
            </w:r>
          </w:p>
        </w:tc>
        <w:tc>
          <w:tcPr>
            <w:tcW w:w="5162" w:type="dxa"/>
            <w:vAlign w:val="center"/>
          </w:tcPr>
          <w:p w14:paraId="0F9E1ED4">
            <w:pPr>
              <w:keepNext w:val="0"/>
              <w:keepLines w:val="0"/>
              <w:pageBreakBefore w:val="0"/>
              <w:widowControl w:val="0"/>
              <w:kinsoku/>
              <w:wordWrap/>
              <w:overflowPunct/>
              <w:topLinePunct w:val="0"/>
              <w:autoSpaceDE/>
              <w:autoSpaceDN/>
              <w:bidi w:val="0"/>
              <w:adjustRightInd w:val="0"/>
              <w:snapToGrid w:val="0"/>
              <w:spacing w:before="0" w:beforeLines="-2147483648" w:line="360" w:lineRule="exact"/>
              <w:textAlignment w:val="auto"/>
              <w:rPr>
                <w:rFonts w:ascii="宋体" w:hAnsi="宋体"/>
                <w:color w:val="auto"/>
                <w:szCs w:val="21"/>
                <w:highlight w:val="none"/>
              </w:rPr>
            </w:pPr>
            <w:r>
              <w:rPr>
                <w:rFonts w:hint="eastAsia" w:ascii="宋体" w:hAnsi="宋体"/>
                <w:color w:val="auto"/>
                <w:szCs w:val="21"/>
                <w:highlight w:val="none"/>
              </w:rPr>
              <w:t>本项目不适用</w:t>
            </w:r>
          </w:p>
        </w:tc>
      </w:tr>
      <w:tr w14:paraId="395BF8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991" w:type="dxa"/>
            <w:gridSpan w:val="3"/>
            <w:vAlign w:val="center"/>
          </w:tcPr>
          <w:p w14:paraId="551563E8">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b/>
                <w:color w:val="auto"/>
                <w:szCs w:val="21"/>
                <w:highlight w:val="none"/>
              </w:rPr>
              <w:t>六、成交结果信息公布与授予合同</w:t>
            </w:r>
          </w:p>
        </w:tc>
      </w:tr>
      <w:tr w14:paraId="340D43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32C79F8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37.1</w:t>
            </w:r>
            <w:r>
              <w:rPr>
                <w:rFonts w:hint="eastAsia" w:ascii="宋体" w:hAnsi="宋体"/>
                <w:color w:val="auto"/>
                <w:szCs w:val="21"/>
                <w:highlight w:val="none"/>
              </w:rPr>
              <w:t>款、</w:t>
            </w:r>
          </w:p>
        </w:tc>
        <w:tc>
          <w:tcPr>
            <w:tcW w:w="1985" w:type="dxa"/>
            <w:vAlign w:val="center"/>
          </w:tcPr>
          <w:p w14:paraId="5E88EAAE">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财政部门指定的媒体</w:t>
            </w:r>
          </w:p>
        </w:tc>
        <w:tc>
          <w:tcPr>
            <w:tcW w:w="5162" w:type="dxa"/>
            <w:vAlign w:val="center"/>
          </w:tcPr>
          <w:p w14:paraId="4B8BF2B6">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长沙政府采购网</w:t>
            </w:r>
          </w:p>
          <w:p w14:paraId="4BDB0767">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highlight w:val="none"/>
              </w:rPr>
            </w:pPr>
            <w:r>
              <w:rPr>
                <w:rFonts w:hint="eastAsia"/>
                <w:color w:val="auto"/>
                <w:highlight w:val="none"/>
                <w:lang w:eastAsia="zh-CN"/>
              </w:rPr>
              <w:t>（</w:t>
            </w:r>
            <w:r>
              <w:rPr>
                <w:rFonts w:hint="eastAsia"/>
                <w:color w:val="auto"/>
                <w:highlight w:val="none"/>
              </w:rPr>
              <w:fldChar w:fldCharType="begin"/>
            </w:r>
            <w:r>
              <w:rPr>
                <w:color w:val="auto"/>
                <w:highlight w:val="none"/>
              </w:rPr>
              <w:instrText xml:space="preserve"> HYPERLINK "http://changs.ccgp-hunan.gov.cn" </w:instrText>
            </w:r>
            <w:r>
              <w:rPr>
                <w:rFonts w:hint="eastAsia" w:ascii="Times New Roman" w:hAnsi="Times New Roman"/>
                <w:color w:val="auto"/>
                <w:szCs w:val="24"/>
                <w:highlight w:val="none"/>
              </w:rPr>
              <w:fldChar w:fldCharType="separate"/>
            </w:r>
            <w:r>
              <w:rPr>
                <w:rFonts w:ascii="宋体" w:hAnsi="宋体"/>
                <w:color w:val="auto"/>
                <w:szCs w:val="21"/>
                <w:highlight w:val="none"/>
              </w:rPr>
              <w:t>http://cha</w:t>
            </w:r>
            <w:bookmarkStart w:id="0" w:name="_Hlt130365076"/>
            <w:bookmarkStart w:id="1" w:name="_Hlt130365077"/>
            <w:r>
              <w:rPr>
                <w:rFonts w:ascii="宋体" w:hAnsi="宋体"/>
                <w:color w:val="auto"/>
                <w:szCs w:val="21"/>
                <w:highlight w:val="none"/>
              </w:rPr>
              <w:t>n</w:t>
            </w:r>
            <w:bookmarkEnd w:id="0"/>
            <w:bookmarkEnd w:id="1"/>
            <w:r>
              <w:rPr>
                <w:rFonts w:ascii="宋体" w:hAnsi="宋体"/>
                <w:color w:val="auto"/>
                <w:szCs w:val="21"/>
                <w:highlight w:val="none"/>
              </w:rPr>
              <w:t>gs.ccgp-hunan.gov.cn</w:t>
            </w:r>
            <w:r>
              <w:rPr>
                <w:rFonts w:hint="eastAsia" w:ascii="宋体" w:hAnsi="宋体"/>
                <w:color w:val="auto"/>
                <w:szCs w:val="21"/>
                <w:highlight w:val="none"/>
              </w:rPr>
              <w:fldChar w:fldCharType="end"/>
            </w:r>
            <w:r>
              <w:rPr>
                <w:rFonts w:hint="eastAsia"/>
                <w:color w:val="auto"/>
                <w:highlight w:val="none"/>
                <w:lang w:eastAsia="zh-CN"/>
              </w:rPr>
              <w:t>）</w:t>
            </w:r>
          </w:p>
        </w:tc>
      </w:tr>
      <w:tr w14:paraId="3EAFEB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7BE79AD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39.3</w:t>
            </w:r>
            <w:r>
              <w:rPr>
                <w:rFonts w:hint="eastAsia" w:ascii="宋体" w:hAnsi="宋体"/>
                <w:color w:val="auto"/>
                <w:szCs w:val="21"/>
                <w:highlight w:val="none"/>
              </w:rPr>
              <w:t>款</w:t>
            </w:r>
          </w:p>
        </w:tc>
        <w:tc>
          <w:tcPr>
            <w:tcW w:w="1985" w:type="dxa"/>
            <w:vAlign w:val="center"/>
          </w:tcPr>
          <w:p w14:paraId="1D4175B0">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履约担保</w:t>
            </w:r>
          </w:p>
        </w:tc>
        <w:tc>
          <w:tcPr>
            <w:tcW w:w="5162" w:type="dxa"/>
            <w:vAlign w:val="center"/>
          </w:tcPr>
          <w:p w14:paraId="232900B4">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 xml:space="preserve"> </w:t>
            </w:r>
            <w:r>
              <w:rPr>
                <w:rFonts w:hint="eastAsia" w:ascii="宋体" w:hAnsi="宋体"/>
                <w:color w:val="auto"/>
                <w:szCs w:val="21"/>
                <w:highlight w:val="none"/>
              </w:rPr>
              <w:t>不要求提供</w:t>
            </w:r>
          </w:p>
          <w:p w14:paraId="495C7813">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 xml:space="preserve"> </w:t>
            </w:r>
            <w:r>
              <w:rPr>
                <w:rFonts w:hint="eastAsia" w:ascii="宋体" w:hAnsi="宋体"/>
                <w:color w:val="auto"/>
                <w:szCs w:val="21"/>
                <w:highlight w:val="none"/>
              </w:rPr>
              <w:t>要求提供，履约担保的金额为：</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ascii="宋体" w:hAnsi="宋体"/>
                <w:color w:val="auto"/>
                <w:szCs w:val="21"/>
                <w:highlight w:val="none"/>
                <w:u w:val="single"/>
              </w:rPr>
              <w:t xml:space="preserve"> </w:t>
            </w:r>
          </w:p>
        </w:tc>
      </w:tr>
      <w:tr w14:paraId="1C458F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991" w:type="dxa"/>
            <w:gridSpan w:val="3"/>
            <w:vAlign w:val="center"/>
          </w:tcPr>
          <w:p w14:paraId="74FBD9DD">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b/>
                <w:color w:val="auto"/>
                <w:szCs w:val="21"/>
                <w:highlight w:val="none"/>
              </w:rPr>
            </w:pPr>
            <w:r>
              <w:rPr>
                <w:rFonts w:hint="eastAsia" w:ascii="宋体" w:hAnsi="宋体"/>
                <w:b/>
                <w:color w:val="auto"/>
                <w:szCs w:val="21"/>
                <w:highlight w:val="none"/>
              </w:rPr>
              <w:t>七、其他规定</w:t>
            </w:r>
          </w:p>
        </w:tc>
      </w:tr>
      <w:tr w14:paraId="343085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vAlign w:val="center"/>
          </w:tcPr>
          <w:p w14:paraId="5D4F748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41.1</w:t>
            </w:r>
            <w:r>
              <w:rPr>
                <w:rFonts w:hint="eastAsia" w:ascii="宋体" w:hAnsi="宋体"/>
                <w:color w:val="auto"/>
                <w:szCs w:val="21"/>
                <w:highlight w:val="none"/>
              </w:rPr>
              <w:t>款</w:t>
            </w:r>
          </w:p>
        </w:tc>
        <w:tc>
          <w:tcPr>
            <w:tcW w:w="1985" w:type="dxa"/>
            <w:vAlign w:val="center"/>
          </w:tcPr>
          <w:p w14:paraId="51AD5191">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采购代理服务费</w:t>
            </w:r>
          </w:p>
        </w:tc>
        <w:tc>
          <w:tcPr>
            <w:tcW w:w="5162" w:type="dxa"/>
            <w:vAlign w:val="center"/>
          </w:tcPr>
          <w:p w14:paraId="7DFF9057">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olor w:val="auto"/>
                <w:szCs w:val="21"/>
                <w:highlight w:val="none"/>
                <w:u w:val="single"/>
                <w:lang w:eastAsia="zh-CN"/>
              </w:rPr>
            </w:pPr>
            <w:r>
              <w:rPr>
                <w:rFonts w:hint="eastAsia" w:ascii="宋体" w:hAnsi="宋体"/>
                <w:color w:val="auto"/>
                <w:szCs w:val="21"/>
                <w:highlight w:val="none"/>
                <w:lang w:val="en-US" w:eastAsia="zh-CN"/>
              </w:rPr>
              <w:t>服务费以委托代理协议约定的为准，</w:t>
            </w:r>
            <w:r>
              <w:rPr>
                <w:rFonts w:hint="eastAsia" w:ascii="宋体" w:hAnsi="宋体"/>
                <w:color w:val="auto"/>
                <w:szCs w:val="21"/>
                <w:highlight w:val="none"/>
              </w:rPr>
              <w:t>由中标人</w:t>
            </w:r>
            <w:r>
              <w:rPr>
                <w:rFonts w:hint="eastAsia" w:ascii="宋体" w:hAnsi="宋体"/>
                <w:color w:val="auto"/>
                <w:szCs w:val="21"/>
                <w:highlight w:val="none"/>
                <w:lang w:val="en-US" w:eastAsia="zh-CN"/>
              </w:rPr>
              <w:t>在领取中标通知书时</w:t>
            </w:r>
            <w:r>
              <w:rPr>
                <w:rFonts w:hint="eastAsia" w:ascii="宋体" w:hAnsi="宋体"/>
                <w:color w:val="auto"/>
                <w:szCs w:val="21"/>
                <w:highlight w:val="none"/>
              </w:rPr>
              <w:t>一次性支付全部费用。</w:t>
            </w:r>
          </w:p>
        </w:tc>
      </w:tr>
      <w:tr w14:paraId="2E66F3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844" w:type="dxa"/>
            <w:tcBorders>
              <w:bottom w:val="double" w:color="auto" w:sz="4" w:space="0"/>
            </w:tcBorders>
            <w:vAlign w:val="center"/>
          </w:tcPr>
          <w:p w14:paraId="1CF4F7E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ascii="宋体" w:hAnsi="宋体"/>
                <w:color w:val="auto"/>
                <w:szCs w:val="21"/>
                <w:highlight w:val="none"/>
              </w:rPr>
            </w:pPr>
            <w:r>
              <w:rPr>
                <w:rFonts w:hint="eastAsia" w:ascii="宋体" w:hAnsi="宋体"/>
                <w:color w:val="auto"/>
                <w:szCs w:val="21"/>
                <w:highlight w:val="none"/>
              </w:rPr>
              <w:t>第二章第</w:t>
            </w:r>
            <w:r>
              <w:rPr>
                <w:rFonts w:ascii="宋体" w:hAnsi="宋体"/>
                <w:color w:val="auto"/>
                <w:szCs w:val="21"/>
                <w:highlight w:val="none"/>
              </w:rPr>
              <w:t>42.1</w:t>
            </w:r>
            <w:r>
              <w:rPr>
                <w:rFonts w:hint="eastAsia" w:ascii="宋体" w:hAnsi="宋体"/>
                <w:color w:val="auto"/>
                <w:szCs w:val="21"/>
                <w:highlight w:val="none"/>
              </w:rPr>
              <w:t>款</w:t>
            </w:r>
          </w:p>
        </w:tc>
        <w:tc>
          <w:tcPr>
            <w:tcW w:w="1985" w:type="dxa"/>
            <w:tcBorders>
              <w:bottom w:val="double" w:color="auto" w:sz="4" w:space="0"/>
            </w:tcBorders>
            <w:vAlign w:val="center"/>
          </w:tcPr>
          <w:p w14:paraId="52F235A3">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Cs w:val="21"/>
                <w:highlight w:val="none"/>
              </w:rPr>
            </w:pPr>
            <w:r>
              <w:rPr>
                <w:rFonts w:hint="eastAsia" w:ascii="宋体" w:hAnsi="宋体"/>
                <w:color w:val="auto"/>
                <w:szCs w:val="21"/>
                <w:highlight w:val="none"/>
              </w:rPr>
              <w:t>其他规定</w:t>
            </w:r>
          </w:p>
        </w:tc>
        <w:tc>
          <w:tcPr>
            <w:tcW w:w="5162" w:type="dxa"/>
            <w:tcBorders>
              <w:bottom w:val="double" w:color="auto" w:sz="4" w:space="0"/>
            </w:tcBorders>
            <w:vAlign w:val="center"/>
          </w:tcPr>
          <w:p w14:paraId="3EC7B98F">
            <w:pPr>
              <w:keepNext w:val="0"/>
              <w:keepLines w:val="0"/>
              <w:pageBreakBefore w:val="0"/>
              <w:widowControl w:val="0"/>
              <w:kinsoku/>
              <w:wordWrap/>
              <w:overflowPunct/>
              <w:topLinePunct w:val="0"/>
              <w:autoSpaceDE/>
              <w:autoSpaceDN/>
              <w:bidi w:val="0"/>
              <w:adjustRightInd w:val="0"/>
              <w:snapToGrid w:val="0"/>
              <w:spacing w:before="0" w:beforeLines="-2147483648" w:line="360" w:lineRule="exact"/>
              <w:textAlignment w:val="auto"/>
              <w:rPr>
                <w:rFonts w:ascii="宋体" w:hAnsi="宋体"/>
                <w:b/>
                <w:bCs/>
                <w:color w:val="auto"/>
                <w:szCs w:val="21"/>
                <w:highlight w:val="none"/>
              </w:rPr>
            </w:pPr>
            <w:r>
              <w:rPr>
                <w:rFonts w:ascii="宋体" w:hAnsi="宋体"/>
                <w:b/>
                <w:bCs/>
                <w:color w:val="auto"/>
                <w:szCs w:val="21"/>
                <w:highlight w:val="none"/>
              </w:rPr>
              <w:t>1</w:t>
            </w:r>
            <w:r>
              <w:rPr>
                <w:rFonts w:hint="eastAsia" w:ascii="宋体" w:hAnsi="宋体"/>
                <w:b/>
                <w:bCs/>
                <w:color w:val="auto"/>
                <w:szCs w:val="21"/>
                <w:highlight w:val="none"/>
              </w:rPr>
              <w:t>、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891F668">
            <w:pPr>
              <w:keepNext w:val="0"/>
              <w:keepLines w:val="0"/>
              <w:pageBreakBefore w:val="0"/>
              <w:widowControl w:val="0"/>
              <w:kinsoku/>
              <w:wordWrap/>
              <w:overflowPunct/>
              <w:topLinePunct w:val="0"/>
              <w:autoSpaceDE/>
              <w:autoSpaceDN/>
              <w:bidi w:val="0"/>
              <w:adjustRightInd w:val="0"/>
              <w:snapToGrid w:val="0"/>
              <w:spacing w:before="0" w:beforeLines="-2147483648" w:line="360" w:lineRule="exact"/>
              <w:textAlignment w:val="auto"/>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、信用信息查询的查询渠道：“信用中国”网站（</w:t>
            </w:r>
            <w:r>
              <w:rPr>
                <w:rFonts w:ascii="宋体" w:hAnsi="宋体"/>
                <w:color w:val="auto"/>
                <w:szCs w:val="21"/>
                <w:highlight w:val="none"/>
              </w:rPr>
              <w:t>www.creditchina.gov.cn</w:t>
            </w:r>
            <w:r>
              <w:rPr>
                <w:rFonts w:hint="eastAsia" w:ascii="宋体" w:hAnsi="宋体"/>
                <w:color w:val="auto"/>
                <w:szCs w:val="21"/>
                <w:highlight w:val="none"/>
              </w:rPr>
              <w:t>）、中国政府采购网（</w:t>
            </w:r>
            <w:r>
              <w:rPr>
                <w:rFonts w:ascii="宋体" w:hAnsi="宋体"/>
                <w:color w:val="auto"/>
                <w:szCs w:val="21"/>
                <w:highlight w:val="none"/>
              </w:rPr>
              <w:t>www.ccgp.gov.cn</w:t>
            </w:r>
            <w:r>
              <w:rPr>
                <w:rFonts w:hint="eastAsia" w:ascii="宋体" w:hAnsi="宋体"/>
                <w:color w:val="auto"/>
                <w:szCs w:val="21"/>
                <w:highlight w:val="none"/>
              </w:rPr>
              <w:t>）。</w:t>
            </w:r>
          </w:p>
          <w:p w14:paraId="402DBFA0">
            <w:pPr>
              <w:keepNext w:val="0"/>
              <w:keepLines w:val="0"/>
              <w:pageBreakBefore w:val="0"/>
              <w:widowControl w:val="0"/>
              <w:kinsoku/>
              <w:wordWrap/>
              <w:overflowPunct/>
              <w:topLinePunct w:val="0"/>
              <w:autoSpaceDE/>
              <w:autoSpaceDN/>
              <w:bidi w:val="0"/>
              <w:adjustRightInd w:val="0"/>
              <w:snapToGrid w:val="0"/>
              <w:spacing w:before="0" w:beforeLines="-2147483648" w:line="360" w:lineRule="exact"/>
              <w:textAlignment w:val="auto"/>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、信用信息查询的截止时点：至本项目投标截止时间止。</w:t>
            </w:r>
          </w:p>
          <w:p w14:paraId="140B70D5">
            <w:pPr>
              <w:keepNext w:val="0"/>
              <w:keepLines w:val="0"/>
              <w:pageBreakBefore w:val="0"/>
              <w:widowControl w:val="0"/>
              <w:kinsoku/>
              <w:wordWrap/>
              <w:overflowPunct/>
              <w:topLinePunct w:val="0"/>
              <w:autoSpaceDE/>
              <w:autoSpaceDN/>
              <w:bidi w:val="0"/>
              <w:adjustRightInd w:val="0"/>
              <w:snapToGrid w:val="0"/>
              <w:spacing w:before="0" w:beforeLines="-2147483648" w:line="360" w:lineRule="exact"/>
              <w:textAlignment w:val="auto"/>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、信用信息查询记录的具体方式：采购人或采购代理机构在开标后在规定的查询渠道进行查询。</w:t>
            </w:r>
          </w:p>
          <w:p w14:paraId="27B34C78">
            <w:pPr>
              <w:keepNext w:val="0"/>
              <w:keepLines w:val="0"/>
              <w:pageBreakBefore w:val="0"/>
              <w:widowControl w:val="0"/>
              <w:kinsoku/>
              <w:wordWrap/>
              <w:overflowPunct/>
              <w:topLinePunct w:val="0"/>
              <w:autoSpaceDE/>
              <w:autoSpaceDN/>
              <w:bidi w:val="0"/>
              <w:adjustRightInd w:val="0"/>
              <w:snapToGrid w:val="0"/>
              <w:spacing w:before="0" w:beforeLines="-2147483648" w:line="360" w:lineRule="exact"/>
              <w:textAlignment w:val="auto"/>
              <w:rPr>
                <w:rFonts w:ascii="宋体" w:hAnsi="宋体"/>
                <w:color w:val="auto"/>
                <w:szCs w:val="21"/>
                <w:highlight w:val="none"/>
              </w:rPr>
            </w:pPr>
            <w:r>
              <w:rPr>
                <w:rFonts w:ascii="宋体" w:hAnsi="宋体"/>
                <w:color w:val="auto"/>
                <w:szCs w:val="21"/>
                <w:highlight w:val="none"/>
              </w:rPr>
              <w:t>5</w:t>
            </w:r>
            <w:r>
              <w:rPr>
                <w:rFonts w:hint="eastAsia" w:ascii="宋体" w:hAnsi="宋体"/>
                <w:color w:val="auto"/>
                <w:szCs w:val="21"/>
                <w:highlight w:val="none"/>
              </w:rPr>
              <w:t>、信用信息查询记录证据留存的具体方式：查询记录的网上打印件。</w:t>
            </w:r>
          </w:p>
          <w:p w14:paraId="31791515">
            <w:pPr>
              <w:keepNext w:val="0"/>
              <w:keepLines w:val="0"/>
              <w:pageBreakBefore w:val="0"/>
              <w:widowControl w:val="0"/>
              <w:kinsoku/>
              <w:wordWrap/>
              <w:overflowPunct/>
              <w:topLinePunct w:val="0"/>
              <w:autoSpaceDE/>
              <w:autoSpaceDN/>
              <w:bidi w:val="0"/>
              <w:adjustRightInd w:val="0"/>
              <w:snapToGrid w:val="0"/>
              <w:spacing w:line="360" w:lineRule="exact"/>
              <w:textAlignment w:val="auto"/>
              <w:rPr>
                <w:color w:val="auto"/>
                <w:highlight w:val="none"/>
              </w:rPr>
            </w:pPr>
            <w:r>
              <w:rPr>
                <w:rFonts w:ascii="宋体" w:hAnsi="宋体"/>
                <w:color w:val="auto"/>
                <w:szCs w:val="21"/>
                <w:highlight w:val="none"/>
              </w:rPr>
              <w:t>6</w:t>
            </w:r>
            <w:r>
              <w:rPr>
                <w:rFonts w:hint="eastAsia" w:ascii="宋体" w:hAnsi="宋体"/>
                <w:color w:val="auto"/>
                <w:szCs w:val="21"/>
                <w:highlight w:val="none"/>
              </w:rPr>
              <w:t>、信用信息的使用规则：查询后交由评标委员会评定。</w:t>
            </w:r>
          </w:p>
        </w:tc>
      </w:tr>
    </w:tbl>
    <w:p w14:paraId="019EAA8E">
      <w:pPr>
        <w:adjustRightInd w:val="0"/>
        <w:snapToGrid w:val="0"/>
        <w:spacing w:line="520" w:lineRule="exact"/>
        <w:rPr>
          <w:rFonts w:ascii="宋体" w:hAnsi="宋体" w:cs="宋体"/>
          <w:color w:val="auto"/>
          <w:kern w:val="0"/>
          <w:szCs w:val="21"/>
          <w:highlight w:val="none"/>
        </w:rPr>
        <w:sectPr>
          <w:footerReference r:id="rId5" w:type="first"/>
          <w:footerReference r:id="rId4" w:type="default"/>
          <w:pgSz w:w="11906" w:h="16838"/>
          <w:pgMar w:top="1440" w:right="1531" w:bottom="1440" w:left="1531" w:header="851" w:footer="992" w:gutter="0"/>
          <w:cols w:space="720" w:num="1"/>
          <w:titlePg/>
          <w:docGrid w:type="lines" w:linePitch="312" w:charSpace="0"/>
        </w:sectPr>
      </w:pPr>
    </w:p>
    <w:p w14:paraId="119A0088">
      <w:pPr>
        <w:rPr>
          <w:rFonts w:hint="eastAsia" w:ascii="宋体" w:hAnsi="宋体"/>
          <w:b/>
          <w:bCs/>
          <w:color w:val="auto"/>
          <w:szCs w:val="21"/>
          <w:highlight w:val="none"/>
        </w:rPr>
      </w:pPr>
      <w:r>
        <w:rPr>
          <w:rFonts w:hint="eastAsia" w:ascii="宋体" w:hAnsi="宋体"/>
          <w:b/>
          <w:bCs/>
          <w:color w:val="auto"/>
          <w:szCs w:val="21"/>
          <w:highlight w:val="none"/>
        </w:rPr>
        <w:br w:type="page"/>
      </w:r>
    </w:p>
    <w:p w14:paraId="64079B56">
      <w:pPr>
        <w:spacing w:line="520" w:lineRule="exact"/>
        <w:rPr>
          <w:rFonts w:ascii="宋体" w:hAnsi="宋体"/>
          <w:b/>
          <w:color w:val="auto"/>
          <w:szCs w:val="21"/>
          <w:highlight w:val="none"/>
        </w:rPr>
      </w:pPr>
      <w:r>
        <w:rPr>
          <w:rFonts w:hint="eastAsia" w:ascii="宋体" w:hAnsi="宋体"/>
          <w:b/>
          <w:bCs/>
          <w:color w:val="auto"/>
          <w:szCs w:val="21"/>
          <w:highlight w:val="none"/>
        </w:rPr>
        <w:t>附页</w:t>
      </w:r>
      <w:r>
        <w:rPr>
          <w:rFonts w:ascii="宋体" w:hAnsi="宋体"/>
          <w:b/>
          <w:bCs/>
          <w:color w:val="auto"/>
          <w:szCs w:val="21"/>
          <w:highlight w:val="none"/>
        </w:rPr>
        <w:t>4</w:t>
      </w:r>
    </w:p>
    <w:p w14:paraId="3C8DF155">
      <w:pPr>
        <w:spacing w:line="520" w:lineRule="exact"/>
        <w:jc w:val="center"/>
        <w:outlineLvl w:val="1"/>
        <w:rPr>
          <w:rFonts w:ascii="宋体" w:hAnsi="宋体"/>
          <w:b/>
          <w:color w:val="auto"/>
          <w:sz w:val="28"/>
          <w:szCs w:val="28"/>
          <w:highlight w:val="none"/>
        </w:rPr>
      </w:pPr>
      <w:r>
        <w:rPr>
          <w:rFonts w:hint="eastAsia" w:ascii="宋体" w:hAnsi="宋体"/>
          <w:b/>
          <w:color w:val="auto"/>
          <w:sz w:val="28"/>
          <w:szCs w:val="28"/>
          <w:highlight w:val="none"/>
        </w:rPr>
        <w:t>评审因素和标准</w:t>
      </w:r>
    </w:p>
    <w:tbl>
      <w:tblPr>
        <w:tblStyle w:val="26"/>
        <w:tblW w:w="488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00"/>
        <w:gridCol w:w="739"/>
        <w:gridCol w:w="1242"/>
        <w:gridCol w:w="578"/>
        <w:gridCol w:w="4921"/>
        <w:gridCol w:w="16"/>
      </w:tblGrid>
      <w:tr w14:paraId="34899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 w:hRule="atLeast"/>
        </w:trPr>
        <w:tc>
          <w:tcPr>
            <w:tcW w:w="370" w:type="pct"/>
            <w:shd w:val="clear" w:color="auto" w:fill="auto"/>
            <w:vAlign w:val="center"/>
          </w:tcPr>
          <w:p w14:paraId="2420E1D6">
            <w:pPr>
              <w:adjustRightInd w:val="0"/>
              <w:snapToGrid w:val="0"/>
              <w:spacing w:line="288" w:lineRule="auto"/>
              <w:jc w:val="center"/>
              <w:rPr>
                <w:rFonts w:ascii="宋体" w:hAnsi="宋体" w:cs="宋体"/>
                <w:color w:val="auto"/>
                <w:szCs w:val="21"/>
                <w:highlight w:val="none"/>
              </w:rPr>
            </w:pPr>
            <w:r>
              <w:rPr>
                <w:rFonts w:hint="eastAsia" w:ascii="宋体" w:hAnsi="宋体" w:cs="宋体"/>
                <w:color w:val="auto"/>
                <w:szCs w:val="21"/>
                <w:highlight w:val="none"/>
                <w:lang w:bidi="ar"/>
              </w:rPr>
              <w:t>序号</w:t>
            </w:r>
          </w:p>
        </w:tc>
        <w:tc>
          <w:tcPr>
            <w:tcW w:w="1223" w:type="pct"/>
            <w:gridSpan w:val="2"/>
            <w:shd w:val="clear" w:color="auto" w:fill="auto"/>
            <w:vAlign w:val="center"/>
          </w:tcPr>
          <w:p w14:paraId="624C75C1">
            <w:pPr>
              <w:adjustRightInd w:val="0"/>
              <w:snapToGrid w:val="0"/>
              <w:spacing w:line="288" w:lineRule="auto"/>
              <w:jc w:val="center"/>
              <w:rPr>
                <w:rFonts w:ascii="宋体" w:hAnsi="宋体" w:cs="宋体"/>
                <w:color w:val="auto"/>
                <w:szCs w:val="21"/>
                <w:highlight w:val="none"/>
              </w:rPr>
            </w:pPr>
            <w:r>
              <w:rPr>
                <w:rFonts w:hint="eastAsia" w:ascii="宋体" w:hAnsi="宋体" w:cs="宋体"/>
                <w:color w:val="auto"/>
                <w:szCs w:val="21"/>
                <w:highlight w:val="none"/>
                <w:lang w:bidi="ar"/>
              </w:rPr>
              <w:t>评审因素</w:t>
            </w:r>
          </w:p>
        </w:tc>
        <w:tc>
          <w:tcPr>
            <w:tcW w:w="357" w:type="pct"/>
            <w:shd w:val="clear" w:color="auto" w:fill="auto"/>
            <w:vAlign w:val="center"/>
          </w:tcPr>
          <w:p w14:paraId="43FB697E">
            <w:pPr>
              <w:adjustRightInd w:val="0"/>
              <w:snapToGrid w:val="0"/>
              <w:spacing w:line="288" w:lineRule="auto"/>
              <w:jc w:val="center"/>
              <w:rPr>
                <w:rFonts w:ascii="宋体" w:hAnsi="宋体" w:cs="宋体"/>
                <w:color w:val="auto"/>
                <w:szCs w:val="21"/>
                <w:highlight w:val="none"/>
              </w:rPr>
            </w:pPr>
            <w:r>
              <w:rPr>
                <w:rFonts w:hint="eastAsia" w:ascii="宋体" w:hAnsi="宋体" w:cs="宋体"/>
                <w:color w:val="auto"/>
                <w:szCs w:val="21"/>
                <w:highlight w:val="none"/>
                <w:lang w:bidi="ar"/>
              </w:rPr>
              <w:t>分值</w:t>
            </w:r>
          </w:p>
        </w:tc>
        <w:tc>
          <w:tcPr>
            <w:tcW w:w="3049" w:type="pct"/>
            <w:gridSpan w:val="2"/>
            <w:shd w:val="clear" w:color="auto" w:fill="auto"/>
            <w:vAlign w:val="center"/>
          </w:tcPr>
          <w:p w14:paraId="689AC978">
            <w:pPr>
              <w:adjustRightInd w:val="0"/>
              <w:snapToGrid w:val="0"/>
              <w:spacing w:line="288" w:lineRule="auto"/>
              <w:jc w:val="center"/>
              <w:rPr>
                <w:rFonts w:ascii="宋体" w:hAnsi="宋体" w:cs="宋体"/>
                <w:color w:val="auto"/>
                <w:szCs w:val="21"/>
                <w:highlight w:val="none"/>
              </w:rPr>
            </w:pPr>
            <w:r>
              <w:rPr>
                <w:rFonts w:hint="eastAsia" w:ascii="宋体" w:hAnsi="宋体" w:cs="宋体"/>
                <w:color w:val="auto"/>
                <w:szCs w:val="21"/>
                <w:highlight w:val="none"/>
                <w:lang w:bidi="ar"/>
              </w:rPr>
              <w:t>评分标准</w:t>
            </w:r>
          </w:p>
        </w:tc>
      </w:tr>
      <w:tr w14:paraId="66DB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2" w:hRule="atLeast"/>
        </w:trPr>
        <w:tc>
          <w:tcPr>
            <w:tcW w:w="370" w:type="pct"/>
            <w:shd w:val="clear" w:color="auto" w:fill="auto"/>
            <w:vAlign w:val="center"/>
          </w:tcPr>
          <w:p w14:paraId="5884EEDC">
            <w:pPr>
              <w:adjustRightInd w:val="0"/>
              <w:snapToGrid w:val="0"/>
              <w:spacing w:line="288" w:lineRule="auto"/>
              <w:jc w:val="center"/>
              <w:rPr>
                <w:rFonts w:ascii="宋体" w:hAnsi="宋体" w:cs="宋体"/>
                <w:color w:val="auto"/>
                <w:szCs w:val="21"/>
                <w:highlight w:val="none"/>
                <w:lang w:bidi="ar"/>
              </w:rPr>
            </w:pPr>
          </w:p>
          <w:p w14:paraId="4A08917A">
            <w:pPr>
              <w:adjustRightInd w:val="0"/>
              <w:snapToGrid w:val="0"/>
              <w:spacing w:line="288" w:lineRule="auto"/>
              <w:jc w:val="center"/>
              <w:rPr>
                <w:rFonts w:ascii="宋体" w:hAnsi="宋体" w:cs="宋体"/>
                <w:color w:val="auto"/>
                <w:szCs w:val="21"/>
                <w:highlight w:val="none"/>
              </w:rPr>
            </w:pPr>
            <w:r>
              <w:rPr>
                <w:rFonts w:ascii="宋体" w:hAnsi="宋体" w:cs="宋体"/>
                <w:color w:val="auto"/>
                <w:szCs w:val="21"/>
                <w:highlight w:val="none"/>
                <w:lang w:bidi="ar"/>
              </w:rPr>
              <w:t>1</w:t>
            </w:r>
          </w:p>
          <w:p w14:paraId="1F9618D9">
            <w:pPr>
              <w:adjustRightInd w:val="0"/>
              <w:snapToGrid w:val="0"/>
              <w:spacing w:line="288" w:lineRule="auto"/>
              <w:jc w:val="center"/>
              <w:rPr>
                <w:rFonts w:ascii="宋体" w:hAnsi="宋体" w:cs="宋体"/>
                <w:color w:val="auto"/>
                <w:szCs w:val="21"/>
                <w:highlight w:val="none"/>
              </w:rPr>
            </w:pPr>
          </w:p>
        </w:tc>
        <w:tc>
          <w:tcPr>
            <w:tcW w:w="1223" w:type="pct"/>
            <w:gridSpan w:val="2"/>
            <w:shd w:val="clear" w:color="auto" w:fill="auto"/>
            <w:vAlign w:val="center"/>
          </w:tcPr>
          <w:p w14:paraId="1CAF4ACD">
            <w:pPr>
              <w:adjustRightInd w:val="0"/>
              <w:snapToGrid w:val="0"/>
              <w:spacing w:line="288" w:lineRule="auto"/>
              <w:jc w:val="center"/>
              <w:rPr>
                <w:rFonts w:ascii="宋体" w:hAnsi="宋体" w:cs="宋体"/>
                <w:color w:val="auto"/>
                <w:szCs w:val="21"/>
                <w:highlight w:val="none"/>
              </w:rPr>
            </w:pPr>
            <w:r>
              <w:rPr>
                <w:rFonts w:hint="eastAsia" w:ascii="宋体" w:hAnsi="宋体" w:cs="宋体"/>
                <w:color w:val="auto"/>
                <w:szCs w:val="21"/>
                <w:highlight w:val="none"/>
                <w:lang w:bidi="ar"/>
              </w:rPr>
              <w:t>价格部分（</w:t>
            </w:r>
            <w:r>
              <w:rPr>
                <w:rFonts w:hint="eastAsia" w:ascii="宋体" w:hAnsi="宋体" w:cs="宋体"/>
                <w:color w:val="auto"/>
                <w:szCs w:val="21"/>
                <w:highlight w:val="none"/>
                <w:lang w:val="en-US" w:eastAsia="zh-CN" w:bidi="ar"/>
              </w:rPr>
              <w:t>3</w:t>
            </w:r>
            <w:r>
              <w:rPr>
                <w:rFonts w:ascii="宋体" w:hAnsi="宋体" w:cs="宋体"/>
                <w:color w:val="auto"/>
                <w:szCs w:val="21"/>
                <w:highlight w:val="none"/>
                <w:lang w:bidi="ar"/>
              </w:rPr>
              <w:t>0分）</w:t>
            </w:r>
          </w:p>
        </w:tc>
        <w:tc>
          <w:tcPr>
            <w:tcW w:w="357" w:type="pct"/>
            <w:shd w:val="clear" w:color="auto" w:fill="auto"/>
            <w:vAlign w:val="center"/>
          </w:tcPr>
          <w:p w14:paraId="29866779">
            <w:pPr>
              <w:adjustRightInd w:val="0"/>
              <w:snapToGrid w:val="0"/>
              <w:spacing w:line="288" w:lineRule="auto"/>
              <w:jc w:val="center"/>
              <w:rPr>
                <w:rFonts w:ascii="宋体" w:hAnsi="宋体" w:cs="宋体"/>
                <w:color w:val="auto"/>
                <w:szCs w:val="21"/>
                <w:highlight w:val="none"/>
              </w:rPr>
            </w:pPr>
            <w:r>
              <w:rPr>
                <w:rFonts w:hint="eastAsia" w:ascii="宋体" w:hAnsi="宋体" w:cs="宋体"/>
                <w:color w:val="auto"/>
                <w:szCs w:val="21"/>
                <w:highlight w:val="none"/>
                <w:lang w:val="en-US" w:eastAsia="zh-CN" w:bidi="ar"/>
              </w:rPr>
              <w:t>3</w:t>
            </w:r>
            <w:r>
              <w:rPr>
                <w:rFonts w:ascii="宋体" w:hAnsi="宋体" w:cs="宋体"/>
                <w:color w:val="auto"/>
                <w:szCs w:val="21"/>
                <w:highlight w:val="none"/>
                <w:lang w:bidi="ar"/>
              </w:rPr>
              <w:t>0</w:t>
            </w:r>
          </w:p>
        </w:tc>
        <w:tc>
          <w:tcPr>
            <w:tcW w:w="3049" w:type="pct"/>
            <w:gridSpan w:val="2"/>
            <w:shd w:val="clear" w:color="auto" w:fill="auto"/>
            <w:vAlign w:val="center"/>
          </w:tcPr>
          <w:p w14:paraId="2A8C3B3B">
            <w:pPr>
              <w:numPr>
                <w:ilvl w:val="0"/>
                <w:numId w:val="0"/>
              </w:numPr>
              <w:snapToGrid w:val="0"/>
              <w:spacing w:line="288" w:lineRule="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满足磋商文件要求且最后报价最低的供应商价格为磋商基准价，其价格分为满分。其他供应商的价格分统一按照下列公式计算：</w:t>
            </w:r>
          </w:p>
          <w:p w14:paraId="1F7431B8">
            <w:pPr>
              <w:numPr>
                <w:ilvl w:val="0"/>
                <w:numId w:val="0"/>
              </w:numPr>
              <w:snapToGrid w:val="0"/>
              <w:spacing w:line="288" w:lineRule="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磋商报价得分=（磋商基准价/最后报价）×价格分值。</w:t>
            </w:r>
          </w:p>
          <w:p w14:paraId="0411DD48">
            <w:pPr>
              <w:numPr>
                <w:ilvl w:val="0"/>
                <w:numId w:val="0"/>
              </w:numPr>
              <w:snapToGrid w:val="0"/>
              <w:spacing w:line="288" w:lineRule="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1、因落实价格评审优惠进行价格调整的， 以调整后的价格计算评标基准价和投标报价</w:t>
            </w:r>
          </w:p>
          <w:p w14:paraId="26022A63">
            <w:pPr>
              <w:numPr>
                <w:ilvl w:val="0"/>
                <w:numId w:val="0"/>
              </w:numPr>
              <w:snapToGrid w:val="0"/>
              <w:spacing w:line="288" w:lineRule="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2、根据《关于推动解决政府采购异常低价问题的通知》财库〔2026〕2号的规定：出现下列情形之一的，评审委员会应当启动异常低价投标(响应)审查程序：</w:t>
            </w:r>
          </w:p>
          <w:p w14:paraId="0FE6B777">
            <w:pPr>
              <w:numPr>
                <w:ilvl w:val="0"/>
                <w:numId w:val="0"/>
              </w:numPr>
              <w:snapToGrid w:val="0"/>
              <w:spacing w:line="288" w:lineRule="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（1）投标(响应)报价低于全部通过符合性审查供应商投标(响应)报价平均值</w:t>
            </w:r>
            <w:r>
              <w:rPr>
                <w:rFonts w:hint="default" w:cs="Times New Roman"/>
                <w:color w:val="auto"/>
                <w:highlight w:val="none"/>
              </w:rPr>
              <w:t>65</w:t>
            </w:r>
            <w:r>
              <w:rPr>
                <w:rFonts w:hint="eastAsia" w:ascii="Times New Roman" w:hAnsi="Times New Roman" w:eastAsia="宋体" w:cs="Times New Roman"/>
                <w:color w:val="auto"/>
                <w:highlight w:val="none"/>
              </w:rPr>
              <w:t>%的，即投标（响应）报价&lt;全部通过符合性审查供应商投标（响应）报价平均值×</w:t>
            </w:r>
            <w:r>
              <w:rPr>
                <w:rFonts w:hint="default" w:cs="Times New Roman"/>
                <w:color w:val="auto"/>
                <w:highlight w:val="none"/>
              </w:rPr>
              <w:t>65</w:t>
            </w:r>
            <w:r>
              <w:rPr>
                <w:rFonts w:hint="eastAsia" w:ascii="Times New Roman" w:hAnsi="Times New Roman" w:eastAsia="宋体" w:cs="Times New Roman"/>
                <w:color w:val="auto"/>
                <w:highlight w:val="none"/>
              </w:rPr>
              <w:t>%；</w:t>
            </w:r>
          </w:p>
          <w:p w14:paraId="51993781">
            <w:pPr>
              <w:numPr>
                <w:ilvl w:val="0"/>
                <w:numId w:val="0"/>
              </w:numPr>
              <w:snapToGrid w:val="0"/>
              <w:spacing w:line="288" w:lineRule="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（2）投标(响应)报价低于通过符合性审查的次低报价供应商投标(响应)报价</w:t>
            </w:r>
            <w:r>
              <w:rPr>
                <w:rFonts w:hint="default" w:cs="Times New Roman"/>
                <w:color w:val="auto"/>
                <w:highlight w:val="none"/>
              </w:rPr>
              <w:t>65</w:t>
            </w:r>
            <w:r>
              <w:rPr>
                <w:rFonts w:hint="eastAsia" w:ascii="Times New Roman" w:hAnsi="Times New Roman" w:eastAsia="宋体" w:cs="Times New Roman"/>
                <w:color w:val="auto"/>
                <w:highlight w:val="none"/>
              </w:rPr>
              <w:t>%的，即投标（响应）报价&lt;通过符合性审查的次低报价供应商投标（响应）报价×</w:t>
            </w:r>
            <w:r>
              <w:rPr>
                <w:rFonts w:hint="default" w:cs="Times New Roman"/>
                <w:color w:val="auto"/>
                <w:highlight w:val="none"/>
              </w:rPr>
              <w:t>65</w:t>
            </w:r>
            <w:r>
              <w:rPr>
                <w:rFonts w:hint="eastAsia" w:ascii="Times New Roman" w:hAnsi="Times New Roman" w:eastAsia="宋体" w:cs="Times New Roman"/>
                <w:color w:val="auto"/>
                <w:highlight w:val="none"/>
              </w:rPr>
              <w:t>%；</w:t>
            </w:r>
          </w:p>
          <w:p w14:paraId="12108070">
            <w:pPr>
              <w:numPr>
                <w:ilvl w:val="0"/>
                <w:numId w:val="0"/>
              </w:numPr>
              <w:snapToGrid w:val="0"/>
              <w:spacing w:line="288" w:lineRule="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（3）投标(响应)报价低于采购项目最高限价</w:t>
            </w:r>
            <w:r>
              <w:rPr>
                <w:rFonts w:hint="default" w:cs="Times New Roman"/>
                <w:color w:val="auto"/>
                <w:highlight w:val="none"/>
              </w:rPr>
              <w:t>6</w:t>
            </w:r>
            <w:r>
              <w:rPr>
                <w:rFonts w:hint="eastAsia" w:ascii="Times New Roman" w:hAnsi="Times New Roman" w:eastAsia="宋体" w:cs="Times New Roman"/>
                <w:color w:val="auto"/>
                <w:highlight w:val="none"/>
              </w:rPr>
              <w:t>5%的，即投标（响应）报价&lt;采购项目最高限价×</w:t>
            </w:r>
            <w:r>
              <w:rPr>
                <w:rFonts w:hint="default" w:cs="Times New Roman"/>
                <w:color w:val="auto"/>
                <w:highlight w:val="none"/>
              </w:rPr>
              <w:t>6</w:t>
            </w:r>
            <w:r>
              <w:rPr>
                <w:rFonts w:hint="eastAsia" w:ascii="Times New Roman" w:hAnsi="Times New Roman" w:eastAsia="宋体" w:cs="Times New Roman"/>
                <w:color w:val="auto"/>
                <w:highlight w:val="none"/>
              </w:rPr>
              <w:t>5%；</w:t>
            </w:r>
          </w:p>
          <w:p w14:paraId="67DDA367">
            <w:pPr>
              <w:numPr>
                <w:ilvl w:val="0"/>
                <w:numId w:val="0"/>
              </w:numPr>
              <w:snapToGrid w:val="0"/>
              <w:spacing w:line="288" w:lineRule="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（4）评审委员会基于专业判断，认为供应商报价过低，有可能影响产品质量或者不能诚信履约的其他情形。</w:t>
            </w:r>
          </w:p>
          <w:p w14:paraId="4B9337CF">
            <w:pPr>
              <w:numPr>
                <w:ilvl w:val="0"/>
                <w:numId w:val="0"/>
              </w:numPr>
              <w:snapToGrid w:val="0"/>
              <w:spacing w:line="288" w:lineRule="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相关法律法规对供应商报价有规定的，从其规定。</w:t>
            </w:r>
          </w:p>
          <w:p w14:paraId="0A01E55E">
            <w:pPr>
              <w:numPr>
                <w:ilvl w:val="0"/>
                <w:numId w:val="0"/>
              </w:numPr>
              <w:snapToGrid w:val="0"/>
              <w:spacing w:line="288" w:lineRule="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评审委员会启动异常低价投标（响应）审查后，属于前述第1项至第4项情形的，有权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有权对报价合理性进行判断。投标（响应）供应商不能提供书面说明、证明材料，或者提供的书面说明、证明材料不能证明其报价合理性的，评审委员会有权将其作为无效投标（响应）处理。</w:t>
            </w:r>
          </w:p>
        </w:tc>
      </w:tr>
      <w:tr w14:paraId="2041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26" w:hRule="atLeast"/>
        </w:trPr>
        <w:tc>
          <w:tcPr>
            <w:tcW w:w="370" w:type="pct"/>
            <w:vMerge w:val="restart"/>
            <w:shd w:val="clear" w:color="auto" w:fill="auto"/>
            <w:vAlign w:val="center"/>
          </w:tcPr>
          <w:p w14:paraId="587451C5">
            <w:pPr>
              <w:spacing w:line="288" w:lineRule="auto"/>
              <w:jc w:val="center"/>
              <w:rPr>
                <w:rFonts w:ascii="宋体" w:hAnsi="宋体" w:cs="宋体"/>
                <w:color w:val="auto"/>
                <w:szCs w:val="21"/>
                <w:highlight w:val="none"/>
              </w:rPr>
            </w:pPr>
            <w:r>
              <w:rPr>
                <w:rFonts w:ascii="宋体" w:hAnsi="宋体" w:cs="宋体"/>
                <w:color w:val="auto"/>
                <w:szCs w:val="21"/>
                <w:highlight w:val="none"/>
              </w:rPr>
              <w:t>2</w:t>
            </w:r>
          </w:p>
        </w:tc>
        <w:tc>
          <w:tcPr>
            <w:tcW w:w="456" w:type="pct"/>
            <w:vMerge w:val="restart"/>
            <w:shd w:val="clear" w:color="auto" w:fill="auto"/>
            <w:vAlign w:val="center"/>
          </w:tcPr>
          <w:p w14:paraId="1836FEC2">
            <w:pPr>
              <w:adjustRightInd w:val="0"/>
              <w:snapToGrid w:val="0"/>
              <w:spacing w:line="288" w:lineRule="auto"/>
              <w:jc w:val="center"/>
              <w:rPr>
                <w:rFonts w:hint="eastAsia" w:ascii="宋体" w:hAnsi="宋体" w:cs="宋体"/>
                <w:color w:val="auto"/>
                <w:szCs w:val="21"/>
                <w:highlight w:val="none"/>
              </w:rPr>
            </w:pPr>
            <w:r>
              <w:rPr>
                <w:rFonts w:hint="eastAsia" w:ascii="宋体" w:hAnsi="宋体" w:cs="宋体"/>
                <w:color w:val="auto"/>
                <w:szCs w:val="21"/>
                <w:highlight w:val="none"/>
              </w:rPr>
              <w:t>技术</w:t>
            </w:r>
          </w:p>
          <w:p w14:paraId="5B8B768D">
            <w:pPr>
              <w:adjustRightInd w:val="0"/>
              <w:snapToGrid w:val="0"/>
              <w:spacing w:line="288" w:lineRule="auto"/>
              <w:jc w:val="center"/>
              <w:rPr>
                <w:rFonts w:ascii="宋体" w:hAnsi="宋体" w:cs="宋体"/>
                <w:color w:val="auto"/>
                <w:szCs w:val="21"/>
                <w:highlight w:val="none"/>
                <w:lang w:bidi="ar"/>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ascii="宋体" w:hAnsi="宋体" w:cs="宋体"/>
                <w:color w:val="auto"/>
                <w:szCs w:val="21"/>
                <w:highlight w:val="none"/>
              </w:rPr>
              <w:t>0分）</w:t>
            </w:r>
          </w:p>
        </w:tc>
        <w:tc>
          <w:tcPr>
            <w:tcW w:w="767" w:type="pct"/>
            <w:shd w:val="clear" w:color="auto" w:fill="auto"/>
            <w:vAlign w:val="center"/>
          </w:tcPr>
          <w:p w14:paraId="4B149F25">
            <w:pPr>
              <w:keepNext w:val="0"/>
              <w:keepLines w:val="0"/>
              <w:pageBreakBefore w:val="0"/>
              <w:widowControl w:val="0"/>
              <w:kinsoku/>
              <w:wordWrap/>
              <w:overflowPunct/>
              <w:topLinePunct w:val="0"/>
              <w:autoSpaceDE/>
              <w:autoSpaceDN/>
              <w:bidi w:val="0"/>
              <w:adjustRightInd w:val="0"/>
              <w:snapToGrid w:val="0"/>
              <w:spacing w:line="280" w:lineRule="exact"/>
              <w:ind w:right="-109" w:rightChars="-52"/>
              <w:jc w:val="center"/>
              <w:textAlignment w:val="auto"/>
              <w:rPr>
                <w:rFonts w:ascii="宋体" w:hAnsi="宋体" w:cs="宋体"/>
                <w:color w:val="auto"/>
                <w:szCs w:val="21"/>
                <w:highlight w:val="none"/>
              </w:rPr>
            </w:pPr>
            <w:r>
              <w:rPr>
                <w:rFonts w:hint="eastAsia" w:ascii="宋体" w:hAnsi="宋体" w:eastAsia="宋体" w:cs="Times New Roman"/>
                <w:color w:val="auto"/>
                <w:kern w:val="0"/>
                <w:szCs w:val="21"/>
                <w:highlight w:val="none"/>
              </w:rPr>
              <w:t>施工方案与技术措施</w:t>
            </w:r>
          </w:p>
        </w:tc>
        <w:tc>
          <w:tcPr>
            <w:tcW w:w="357" w:type="pct"/>
            <w:shd w:val="clear" w:color="auto" w:fill="auto"/>
            <w:vAlign w:val="center"/>
          </w:tcPr>
          <w:p w14:paraId="54E1F9EB">
            <w:pPr>
              <w:keepNext w:val="0"/>
              <w:keepLines w:val="0"/>
              <w:pageBreakBefore w:val="0"/>
              <w:widowControl w:val="0"/>
              <w:kinsoku/>
              <w:wordWrap/>
              <w:overflowPunct/>
              <w:topLinePunct w:val="0"/>
              <w:autoSpaceDE/>
              <w:autoSpaceDN/>
              <w:bidi w:val="0"/>
              <w:spacing w:line="28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Times New Roman"/>
                <w:color w:val="auto"/>
                <w:kern w:val="0"/>
                <w:szCs w:val="21"/>
                <w:highlight w:val="none"/>
                <w:lang w:val="en-US" w:eastAsia="zh-CN"/>
              </w:rPr>
              <w:t>12</w:t>
            </w:r>
          </w:p>
        </w:tc>
        <w:tc>
          <w:tcPr>
            <w:tcW w:w="3049" w:type="pct"/>
            <w:gridSpan w:val="2"/>
            <w:shd w:val="clear" w:color="auto" w:fill="auto"/>
            <w:vAlign w:val="center"/>
          </w:tcPr>
          <w:p w14:paraId="52BEF330">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一、评审内容：根据投标人提供的施工方案与技术措施进行计分，完全满足以下要求的计</w:t>
            </w:r>
            <w:r>
              <w:rPr>
                <w:rFonts w:hint="eastAsia" w:ascii="宋体" w:hAnsi="宋体" w:cs="Times New Roman"/>
                <w:color w:val="auto"/>
                <w:kern w:val="0"/>
                <w:szCs w:val="21"/>
                <w:highlight w:val="none"/>
                <w:lang w:val="en-US" w:eastAsia="zh-CN"/>
              </w:rPr>
              <w:t>12</w:t>
            </w:r>
            <w:r>
              <w:rPr>
                <w:rFonts w:hint="eastAsia" w:ascii="宋体" w:hAnsi="宋体" w:eastAsia="宋体" w:cs="Times New Roman"/>
                <w:color w:val="auto"/>
                <w:kern w:val="0"/>
                <w:szCs w:val="21"/>
                <w:highlight w:val="none"/>
              </w:rPr>
              <w:t>分：</w:t>
            </w:r>
          </w:p>
          <w:p w14:paraId="35412E8C">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1、对项目总体概况表述清晰、完整；</w:t>
            </w:r>
          </w:p>
          <w:p w14:paraId="1E19BC32">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2、部署及措施先进、可靠；</w:t>
            </w:r>
          </w:p>
          <w:p w14:paraId="526E3FE0">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3、对项目主要及关键方案有深入的表述，对重点、难点分析透彻，解决方案切实可行；</w:t>
            </w:r>
          </w:p>
          <w:p w14:paraId="35B950B9">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lang w:eastAsia="zh-CN"/>
              </w:rPr>
            </w:pPr>
            <w:r>
              <w:rPr>
                <w:rFonts w:hint="eastAsia" w:ascii="宋体" w:hAnsi="宋体" w:eastAsia="宋体" w:cs="Times New Roman"/>
                <w:color w:val="auto"/>
                <w:kern w:val="0"/>
                <w:szCs w:val="21"/>
                <w:highlight w:val="none"/>
              </w:rPr>
              <w:t>4、施工平面布置有针对性、合理，较好满足施工需要，符合安全、文明生产要求</w:t>
            </w:r>
            <w:r>
              <w:rPr>
                <w:rFonts w:hint="eastAsia" w:ascii="宋体" w:hAnsi="宋体" w:cs="Times New Roman"/>
                <w:color w:val="auto"/>
                <w:kern w:val="0"/>
                <w:szCs w:val="21"/>
                <w:highlight w:val="none"/>
                <w:lang w:eastAsia="zh-CN"/>
              </w:rPr>
              <w:t>。</w:t>
            </w:r>
          </w:p>
          <w:p w14:paraId="54ED3E45">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Times New Roman" w:hAnsi="Times New Roman" w:eastAsia="宋体" w:cs="Times New Roman"/>
                <w:color w:val="auto"/>
                <w:highlight w:val="none"/>
              </w:rPr>
            </w:pPr>
            <w:r>
              <w:rPr>
                <w:rFonts w:hint="eastAsia" w:ascii="宋体" w:hAnsi="宋体" w:eastAsia="宋体" w:cs="Times New Roman"/>
                <w:color w:val="auto"/>
                <w:kern w:val="0"/>
                <w:szCs w:val="21"/>
                <w:highlight w:val="none"/>
              </w:rPr>
              <w:t>二、扣分标准：上述内容，1、方案欠完善或针对性欠缺的每项扣</w:t>
            </w:r>
            <w:r>
              <w:rPr>
                <w:rFonts w:hint="eastAsia" w:ascii="宋体" w:hAnsi="宋体" w:cs="Times New Roman"/>
                <w:color w:val="auto"/>
                <w:kern w:val="0"/>
                <w:szCs w:val="21"/>
                <w:highlight w:val="none"/>
                <w:lang w:val="en-US" w:eastAsia="zh-CN"/>
              </w:rPr>
              <w:t>2</w:t>
            </w:r>
            <w:r>
              <w:rPr>
                <w:rFonts w:hint="eastAsia" w:ascii="宋体" w:hAnsi="宋体" w:eastAsia="宋体" w:cs="Times New Roman"/>
                <w:color w:val="auto"/>
                <w:kern w:val="0"/>
                <w:szCs w:val="21"/>
                <w:highlight w:val="none"/>
              </w:rPr>
              <w:t>分，上述扣分扣完为止；2、方案缺漏项或不合理的每项扣</w:t>
            </w:r>
            <w:r>
              <w:rPr>
                <w:rFonts w:hint="eastAsia" w:ascii="宋体" w:hAnsi="宋体" w:cs="Times New Roman"/>
                <w:color w:val="auto"/>
                <w:kern w:val="0"/>
                <w:szCs w:val="21"/>
                <w:highlight w:val="none"/>
                <w:lang w:val="en-US" w:eastAsia="zh-CN"/>
              </w:rPr>
              <w:t>3</w:t>
            </w:r>
            <w:r>
              <w:rPr>
                <w:rFonts w:hint="eastAsia" w:ascii="宋体" w:hAnsi="宋体" w:eastAsia="宋体" w:cs="Times New Roman"/>
                <w:color w:val="auto"/>
                <w:kern w:val="0"/>
                <w:szCs w:val="21"/>
                <w:highlight w:val="none"/>
              </w:rPr>
              <w:t>分，上述扣分扣完为止；3、未提供的不计分。</w:t>
            </w:r>
          </w:p>
        </w:tc>
      </w:tr>
      <w:tr w14:paraId="0235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370" w:type="pct"/>
            <w:vMerge w:val="continue"/>
            <w:shd w:val="clear" w:color="auto" w:fill="auto"/>
            <w:vAlign w:val="center"/>
          </w:tcPr>
          <w:p w14:paraId="4311CC2A">
            <w:pPr>
              <w:adjustRightInd w:val="0"/>
              <w:snapToGrid w:val="0"/>
              <w:spacing w:line="288" w:lineRule="auto"/>
              <w:rPr>
                <w:rFonts w:ascii="宋体" w:hAnsi="宋体" w:cs="宋体"/>
                <w:color w:val="auto"/>
                <w:highlight w:val="none"/>
              </w:rPr>
            </w:pPr>
          </w:p>
        </w:tc>
        <w:tc>
          <w:tcPr>
            <w:tcW w:w="456" w:type="pct"/>
            <w:vMerge w:val="continue"/>
            <w:shd w:val="clear" w:color="auto" w:fill="auto"/>
            <w:vAlign w:val="center"/>
          </w:tcPr>
          <w:p w14:paraId="6C376323">
            <w:pPr>
              <w:adjustRightInd w:val="0"/>
              <w:snapToGrid w:val="0"/>
              <w:spacing w:line="288" w:lineRule="auto"/>
              <w:rPr>
                <w:rFonts w:ascii="宋体" w:hAnsi="宋体" w:cs="宋体"/>
                <w:color w:val="auto"/>
                <w:highlight w:val="none"/>
              </w:rPr>
            </w:pPr>
          </w:p>
        </w:tc>
        <w:tc>
          <w:tcPr>
            <w:tcW w:w="767" w:type="pct"/>
            <w:shd w:val="clear" w:color="auto" w:fill="auto"/>
            <w:vAlign w:val="center"/>
          </w:tcPr>
          <w:p w14:paraId="15B342B2">
            <w:pPr>
              <w:keepNext w:val="0"/>
              <w:keepLines w:val="0"/>
              <w:pageBreakBefore w:val="0"/>
              <w:widowControl w:val="0"/>
              <w:kinsoku/>
              <w:wordWrap/>
              <w:overflowPunct/>
              <w:topLinePunct w:val="0"/>
              <w:autoSpaceDE/>
              <w:autoSpaceDN/>
              <w:bidi w:val="0"/>
              <w:adjustRightInd w:val="0"/>
              <w:snapToGrid w:val="0"/>
              <w:spacing w:line="280" w:lineRule="exact"/>
              <w:ind w:right="-109" w:rightChars="-52"/>
              <w:jc w:val="center"/>
              <w:textAlignment w:val="auto"/>
              <w:rPr>
                <w:rFonts w:ascii="宋体" w:hAnsi="宋体" w:cs="宋体"/>
                <w:color w:val="auto"/>
                <w:szCs w:val="21"/>
                <w:highlight w:val="none"/>
              </w:rPr>
            </w:pPr>
            <w:r>
              <w:rPr>
                <w:rFonts w:hint="eastAsia" w:ascii="宋体" w:hAnsi="宋体" w:eastAsia="宋体" w:cs="Times New Roman"/>
                <w:color w:val="auto"/>
                <w:kern w:val="0"/>
                <w:szCs w:val="21"/>
                <w:highlight w:val="none"/>
              </w:rPr>
              <w:t>工程进度计划与保证措施</w:t>
            </w:r>
          </w:p>
        </w:tc>
        <w:tc>
          <w:tcPr>
            <w:tcW w:w="357" w:type="pct"/>
            <w:shd w:val="clear" w:color="auto" w:fill="auto"/>
            <w:vAlign w:val="center"/>
          </w:tcPr>
          <w:p w14:paraId="0E23872B">
            <w:pPr>
              <w:keepNext w:val="0"/>
              <w:keepLines w:val="0"/>
              <w:pageBreakBefore w:val="0"/>
              <w:widowControl w:val="0"/>
              <w:kinsoku/>
              <w:wordWrap/>
              <w:overflowPunct/>
              <w:topLinePunct w:val="0"/>
              <w:autoSpaceDE/>
              <w:autoSpaceDN/>
              <w:bidi w:val="0"/>
              <w:spacing w:line="280" w:lineRule="exact"/>
              <w:jc w:val="center"/>
              <w:textAlignment w:val="auto"/>
              <w:rPr>
                <w:rFonts w:hint="eastAsia" w:ascii="宋体" w:hAnsi="宋体" w:eastAsia="宋体" w:cs="宋体"/>
                <w:color w:val="auto"/>
                <w:szCs w:val="21"/>
                <w:highlight w:val="none"/>
                <w:lang w:eastAsia="zh-CN"/>
              </w:rPr>
            </w:pPr>
            <w:r>
              <w:rPr>
                <w:rFonts w:hint="eastAsia" w:ascii="宋体" w:hAnsi="宋体" w:cs="Times New Roman"/>
                <w:color w:val="auto"/>
                <w:kern w:val="0"/>
                <w:szCs w:val="21"/>
                <w:highlight w:val="none"/>
                <w:lang w:val="en-US" w:eastAsia="zh-CN"/>
              </w:rPr>
              <w:t>9</w:t>
            </w:r>
          </w:p>
        </w:tc>
        <w:tc>
          <w:tcPr>
            <w:tcW w:w="3049" w:type="pct"/>
            <w:gridSpan w:val="2"/>
            <w:shd w:val="clear" w:color="auto" w:fill="auto"/>
            <w:vAlign w:val="center"/>
          </w:tcPr>
          <w:p w14:paraId="7C9FE205">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一、评审内容：根据投标人提供的工程进度计划与保证措施进行计分，完全满足以下要求的计</w:t>
            </w:r>
            <w:r>
              <w:rPr>
                <w:rFonts w:hint="eastAsia" w:ascii="宋体" w:hAnsi="宋体" w:cs="Times New Roman"/>
                <w:color w:val="auto"/>
                <w:kern w:val="0"/>
                <w:szCs w:val="21"/>
                <w:highlight w:val="none"/>
                <w:lang w:val="en-US" w:eastAsia="zh-CN"/>
              </w:rPr>
              <w:t>9</w:t>
            </w:r>
            <w:r>
              <w:rPr>
                <w:rFonts w:hint="eastAsia" w:ascii="宋体" w:hAnsi="宋体" w:eastAsia="宋体" w:cs="Times New Roman"/>
                <w:color w:val="auto"/>
                <w:kern w:val="0"/>
                <w:szCs w:val="21"/>
                <w:highlight w:val="none"/>
              </w:rPr>
              <w:t>分：</w:t>
            </w:r>
          </w:p>
          <w:p w14:paraId="55A02636">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1、总工期及节点工期优于磋商文件要求；</w:t>
            </w:r>
          </w:p>
          <w:p w14:paraId="2003946D">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2、施工进度计划内容全面，线路清晰、准确、完整，计划编制合理、可行；</w:t>
            </w:r>
          </w:p>
          <w:p w14:paraId="05C0EA33">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3、措施有力、合理、可行。</w:t>
            </w:r>
          </w:p>
          <w:p w14:paraId="27C5D9E0">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Times New Roman" w:hAnsi="Times New Roman" w:eastAsia="宋体" w:cs="Times New Roman"/>
                <w:color w:val="auto"/>
                <w:highlight w:val="none"/>
              </w:rPr>
            </w:pPr>
            <w:r>
              <w:rPr>
                <w:rFonts w:hint="eastAsia" w:ascii="宋体" w:hAnsi="宋体" w:eastAsia="宋体" w:cs="Times New Roman"/>
                <w:color w:val="auto"/>
                <w:kern w:val="0"/>
                <w:szCs w:val="21"/>
                <w:highlight w:val="none"/>
              </w:rPr>
              <w:t>二、扣分标准：上述内容，1、方案欠完善或针对性欠缺的每项扣</w:t>
            </w:r>
            <w:r>
              <w:rPr>
                <w:rFonts w:hint="eastAsia" w:ascii="宋体" w:hAnsi="宋体" w:cs="Times New Roman"/>
                <w:color w:val="auto"/>
                <w:kern w:val="0"/>
                <w:szCs w:val="21"/>
                <w:highlight w:val="none"/>
                <w:lang w:val="en-US" w:eastAsia="zh-CN"/>
              </w:rPr>
              <w:t>2</w:t>
            </w:r>
            <w:r>
              <w:rPr>
                <w:rFonts w:hint="eastAsia" w:ascii="宋体" w:hAnsi="宋体" w:eastAsia="宋体" w:cs="Times New Roman"/>
                <w:color w:val="auto"/>
                <w:kern w:val="0"/>
                <w:szCs w:val="21"/>
                <w:highlight w:val="none"/>
              </w:rPr>
              <w:t>分，上述扣分扣完为止；2、方案缺漏项或不合理的每项扣</w:t>
            </w:r>
            <w:r>
              <w:rPr>
                <w:rFonts w:hint="eastAsia" w:ascii="宋体" w:hAnsi="宋体" w:cs="Times New Roman"/>
                <w:color w:val="auto"/>
                <w:kern w:val="0"/>
                <w:szCs w:val="21"/>
                <w:highlight w:val="none"/>
                <w:lang w:val="en-US" w:eastAsia="zh-CN"/>
              </w:rPr>
              <w:t>3</w:t>
            </w:r>
            <w:r>
              <w:rPr>
                <w:rFonts w:hint="eastAsia" w:ascii="宋体" w:hAnsi="宋体" w:eastAsia="宋体" w:cs="Times New Roman"/>
                <w:color w:val="auto"/>
                <w:kern w:val="0"/>
                <w:szCs w:val="21"/>
                <w:highlight w:val="none"/>
              </w:rPr>
              <w:t>分，上述扣分扣完为止；3、未提供的不计分。</w:t>
            </w:r>
          </w:p>
        </w:tc>
      </w:tr>
      <w:tr w14:paraId="6C9F9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70" w:type="pct"/>
            <w:vMerge w:val="continue"/>
            <w:shd w:val="clear" w:color="auto" w:fill="auto"/>
            <w:vAlign w:val="center"/>
          </w:tcPr>
          <w:p w14:paraId="5D2C24C9">
            <w:pPr>
              <w:widowControl/>
              <w:spacing w:line="288" w:lineRule="auto"/>
              <w:jc w:val="left"/>
              <w:rPr>
                <w:rFonts w:ascii="宋体" w:hAnsi="宋体" w:cs="宋体"/>
                <w:color w:val="auto"/>
                <w:szCs w:val="21"/>
                <w:highlight w:val="none"/>
              </w:rPr>
            </w:pPr>
          </w:p>
        </w:tc>
        <w:tc>
          <w:tcPr>
            <w:tcW w:w="456" w:type="pct"/>
            <w:vMerge w:val="continue"/>
            <w:shd w:val="clear" w:color="auto" w:fill="auto"/>
            <w:vAlign w:val="center"/>
          </w:tcPr>
          <w:p w14:paraId="04F798E3">
            <w:pPr>
              <w:adjustRightInd w:val="0"/>
              <w:snapToGrid w:val="0"/>
              <w:spacing w:line="288" w:lineRule="auto"/>
              <w:rPr>
                <w:rFonts w:ascii="宋体" w:hAnsi="宋体" w:cs="宋体"/>
                <w:color w:val="auto"/>
                <w:szCs w:val="21"/>
                <w:highlight w:val="none"/>
                <w:lang w:bidi="ar"/>
              </w:rPr>
            </w:pPr>
          </w:p>
        </w:tc>
        <w:tc>
          <w:tcPr>
            <w:tcW w:w="767" w:type="pct"/>
            <w:shd w:val="clear" w:color="auto" w:fill="auto"/>
            <w:vAlign w:val="center"/>
          </w:tcPr>
          <w:p w14:paraId="12A77C76">
            <w:pPr>
              <w:keepNext w:val="0"/>
              <w:keepLines w:val="0"/>
              <w:pageBreakBefore w:val="0"/>
              <w:widowControl w:val="0"/>
              <w:kinsoku/>
              <w:wordWrap/>
              <w:overflowPunct/>
              <w:topLinePunct w:val="0"/>
              <w:autoSpaceDE/>
              <w:autoSpaceDN/>
              <w:bidi w:val="0"/>
              <w:adjustRightInd w:val="0"/>
              <w:snapToGrid w:val="0"/>
              <w:spacing w:line="280" w:lineRule="exact"/>
              <w:ind w:right="-109" w:rightChars="-52"/>
              <w:jc w:val="center"/>
              <w:textAlignment w:val="auto"/>
              <w:rPr>
                <w:rFonts w:ascii="宋体" w:hAnsi="宋体" w:cs="宋体"/>
                <w:color w:val="auto"/>
                <w:szCs w:val="21"/>
                <w:highlight w:val="none"/>
              </w:rPr>
            </w:pPr>
            <w:r>
              <w:rPr>
                <w:rFonts w:hint="eastAsia" w:ascii="宋体" w:hAnsi="宋体" w:eastAsia="宋体" w:cs="Times New Roman"/>
                <w:color w:val="auto"/>
                <w:kern w:val="0"/>
                <w:szCs w:val="21"/>
                <w:highlight w:val="none"/>
              </w:rPr>
              <w:t>质量管理体系与措施</w:t>
            </w:r>
          </w:p>
        </w:tc>
        <w:tc>
          <w:tcPr>
            <w:tcW w:w="357" w:type="pct"/>
            <w:shd w:val="clear" w:color="auto" w:fill="auto"/>
            <w:vAlign w:val="center"/>
          </w:tcPr>
          <w:p w14:paraId="00BB90DE">
            <w:pPr>
              <w:keepNext w:val="0"/>
              <w:keepLines w:val="0"/>
              <w:pageBreakBefore w:val="0"/>
              <w:widowControl w:val="0"/>
              <w:kinsoku/>
              <w:wordWrap/>
              <w:overflowPunct/>
              <w:topLinePunct w:val="0"/>
              <w:autoSpaceDE/>
              <w:autoSpaceDN/>
              <w:bidi w:val="0"/>
              <w:spacing w:line="280" w:lineRule="exact"/>
              <w:jc w:val="center"/>
              <w:textAlignment w:val="auto"/>
              <w:rPr>
                <w:rFonts w:ascii="宋体" w:hAnsi="宋体" w:cs="宋体"/>
                <w:color w:val="auto"/>
                <w:szCs w:val="21"/>
                <w:highlight w:val="none"/>
              </w:rPr>
            </w:pPr>
            <w:r>
              <w:rPr>
                <w:rFonts w:hint="eastAsia" w:ascii="宋体" w:hAnsi="宋体" w:eastAsia="宋体" w:cs="Times New Roman"/>
                <w:color w:val="auto"/>
                <w:kern w:val="0"/>
                <w:szCs w:val="21"/>
                <w:highlight w:val="none"/>
              </w:rPr>
              <w:t>8</w:t>
            </w:r>
          </w:p>
        </w:tc>
        <w:tc>
          <w:tcPr>
            <w:tcW w:w="3049" w:type="pct"/>
            <w:gridSpan w:val="2"/>
            <w:shd w:val="clear" w:color="auto" w:fill="auto"/>
            <w:vAlign w:val="center"/>
          </w:tcPr>
          <w:p w14:paraId="39B574DE">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一、评审内容：根据投标人提供的质量管理体系与措施进行计分，完全满足以下要求的计</w:t>
            </w:r>
            <w:r>
              <w:rPr>
                <w:rFonts w:hint="eastAsia" w:ascii="宋体" w:hAnsi="宋体" w:eastAsia="宋体" w:cs="Times New Roman"/>
                <w:color w:val="auto"/>
                <w:kern w:val="0"/>
                <w:szCs w:val="21"/>
                <w:highlight w:val="none"/>
                <w:lang w:val="en-US" w:eastAsia="zh-CN"/>
              </w:rPr>
              <w:t>8</w:t>
            </w:r>
            <w:r>
              <w:rPr>
                <w:rFonts w:hint="eastAsia" w:ascii="宋体" w:hAnsi="宋体" w:eastAsia="宋体" w:cs="Times New Roman"/>
                <w:color w:val="auto"/>
                <w:kern w:val="0"/>
                <w:szCs w:val="21"/>
                <w:highlight w:val="none"/>
              </w:rPr>
              <w:t>分：</w:t>
            </w:r>
          </w:p>
          <w:p w14:paraId="3A9A54BD">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1、质量目标明确，优于磋商文件的要求；</w:t>
            </w:r>
          </w:p>
          <w:p w14:paraId="483D1B9F">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2、管理机构健全，职责分工明确；</w:t>
            </w:r>
          </w:p>
          <w:p w14:paraId="567D8E93">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3、管理制度齐全；</w:t>
            </w:r>
          </w:p>
          <w:p w14:paraId="0E95AFC4">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4、实施与监控措施全面、有效。</w:t>
            </w:r>
          </w:p>
          <w:p w14:paraId="0843EB2F">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Times New Roman" w:hAnsi="Times New Roman" w:eastAsia="宋体" w:cs="Times New Roman"/>
                <w:color w:val="auto"/>
                <w:highlight w:val="none"/>
              </w:rPr>
            </w:pPr>
            <w:r>
              <w:rPr>
                <w:rFonts w:hint="eastAsia" w:ascii="宋体" w:hAnsi="宋体" w:eastAsia="宋体" w:cs="Times New Roman"/>
                <w:color w:val="auto"/>
                <w:kern w:val="0"/>
                <w:szCs w:val="21"/>
                <w:highlight w:val="none"/>
              </w:rPr>
              <w:t>二、扣分标准：上述内容，1、方案欠完善或针对性欠缺的每项扣</w:t>
            </w:r>
            <w:r>
              <w:rPr>
                <w:rFonts w:hint="eastAsia" w:ascii="宋体" w:hAnsi="宋体" w:eastAsia="宋体" w:cs="Times New Roman"/>
                <w:color w:val="auto"/>
                <w:kern w:val="0"/>
                <w:szCs w:val="21"/>
                <w:highlight w:val="none"/>
                <w:lang w:val="en-US" w:eastAsia="zh-CN"/>
              </w:rPr>
              <w:t>1</w:t>
            </w:r>
            <w:r>
              <w:rPr>
                <w:rFonts w:hint="eastAsia" w:ascii="宋体" w:hAnsi="宋体" w:eastAsia="宋体" w:cs="Times New Roman"/>
                <w:color w:val="auto"/>
                <w:kern w:val="0"/>
                <w:szCs w:val="21"/>
                <w:highlight w:val="none"/>
              </w:rPr>
              <w:t>分，上述扣分扣完为止；2、方案缺漏项或不合理的每项扣</w:t>
            </w:r>
            <w:r>
              <w:rPr>
                <w:rFonts w:hint="eastAsia" w:ascii="宋体" w:hAnsi="宋体" w:eastAsia="宋体" w:cs="Times New Roman"/>
                <w:color w:val="auto"/>
                <w:kern w:val="0"/>
                <w:szCs w:val="21"/>
                <w:highlight w:val="none"/>
                <w:lang w:val="en-US" w:eastAsia="zh-CN"/>
              </w:rPr>
              <w:t>2</w:t>
            </w:r>
            <w:r>
              <w:rPr>
                <w:rFonts w:hint="eastAsia" w:ascii="宋体" w:hAnsi="宋体" w:eastAsia="宋体" w:cs="Times New Roman"/>
                <w:color w:val="auto"/>
                <w:kern w:val="0"/>
                <w:szCs w:val="21"/>
                <w:highlight w:val="none"/>
              </w:rPr>
              <w:t>分，上述扣分扣完为止；3、未提供的不计分。</w:t>
            </w:r>
          </w:p>
        </w:tc>
      </w:tr>
      <w:tr w14:paraId="56D8E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370" w:type="pct"/>
            <w:vMerge w:val="continue"/>
            <w:shd w:val="clear" w:color="auto" w:fill="auto"/>
            <w:vAlign w:val="center"/>
          </w:tcPr>
          <w:p w14:paraId="7DEE0ADD">
            <w:pPr>
              <w:widowControl/>
              <w:spacing w:line="288" w:lineRule="auto"/>
              <w:jc w:val="left"/>
              <w:rPr>
                <w:rFonts w:ascii="宋体" w:hAnsi="宋体" w:cs="宋体"/>
                <w:color w:val="auto"/>
                <w:szCs w:val="21"/>
                <w:highlight w:val="none"/>
              </w:rPr>
            </w:pPr>
          </w:p>
        </w:tc>
        <w:tc>
          <w:tcPr>
            <w:tcW w:w="456" w:type="pct"/>
            <w:vMerge w:val="continue"/>
            <w:shd w:val="clear" w:color="auto" w:fill="auto"/>
            <w:vAlign w:val="center"/>
          </w:tcPr>
          <w:p w14:paraId="0BC359C7">
            <w:pPr>
              <w:adjustRightInd w:val="0"/>
              <w:snapToGrid w:val="0"/>
              <w:spacing w:line="288" w:lineRule="auto"/>
              <w:rPr>
                <w:rFonts w:ascii="宋体" w:hAnsi="宋体" w:cs="宋体"/>
                <w:color w:val="auto"/>
                <w:szCs w:val="21"/>
                <w:highlight w:val="none"/>
                <w:lang w:bidi="ar"/>
              </w:rPr>
            </w:pPr>
          </w:p>
        </w:tc>
        <w:tc>
          <w:tcPr>
            <w:tcW w:w="767" w:type="pct"/>
            <w:shd w:val="clear" w:color="auto" w:fill="auto"/>
            <w:vAlign w:val="center"/>
          </w:tcPr>
          <w:p w14:paraId="69AEB21F">
            <w:pPr>
              <w:keepNext w:val="0"/>
              <w:keepLines w:val="0"/>
              <w:pageBreakBefore w:val="0"/>
              <w:widowControl w:val="0"/>
              <w:kinsoku/>
              <w:wordWrap/>
              <w:overflowPunct/>
              <w:topLinePunct w:val="0"/>
              <w:autoSpaceDE/>
              <w:autoSpaceDN/>
              <w:bidi w:val="0"/>
              <w:adjustRightInd w:val="0"/>
              <w:snapToGrid w:val="0"/>
              <w:spacing w:line="280" w:lineRule="exact"/>
              <w:ind w:right="-109" w:rightChars="-52"/>
              <w:jc w:val="center"/>
              <w:textAlignment w:val="auto"/>
              <w:rPr>
                <w:rFonts w:ascii="宋体" w:hAnsi="宋体" w:cs="宋体"/>
                <w:color w:val="auto"/>
                <w:kern w:val="0"/>
                <w:szCs w:val="21"/>
                <w:highlight w:val="none"/>
                <w:lang w:bidi="ar"/>
              </w:rPr>
            </w:pPr>
            <w:r>
              <w:rPr>
                <w:rFonts w:hint="eastAsia" w:ascii="宋体" w:hAnsi="宋体" w:eastAsia="宋体" w:cs="Times New Roman"/>
                <w:color w:val="auto"/>
                <w:kern w:val="0"/>
                <w:szCs w:val="21"/>
                <w:highlight w:val="none"/>
              </w:rPr>
              <w:t>安全管理体系与措施</w:t>
            </w:r>
          </w:p>
        </w:tc>
        <w:tc>
          <w:tcPr>
            <w:tcW w:w="357" w:type="pct"/>
            <w:shd w:val="clear" w:color="auto" w:fill="auto"/>
            <w:vAlign w:val="center"/>
          </w:tcPr>
          <w:p w14:paraId="20934DFC">
            <w:pPr>
              <w:keepNext w:val="0"/>
              <w:keepLines w:val="0"/>
              <w:pageBreakBefore w:val="0"/>
              <w:widowControl w:val="0"/>
              <w:kinsoku/>
              <w:wordWrap/>
              <w:overflowPunct/>
              <w:topLinePunct w:val="0"/>
              <w:autoSpaceDE/>
              <w:autoSpaceDN/>
              <w:bidi w:val="0"/>
              <w:spacing w:line="280" w:lineRule="exact"/>
              <w:jc w:val="center"/>
              <w:textAlignment w:val="auto"/>
              <w:rPr>
                <w:rFonts w:ascii="宋体" w:hAnsi="宋体" w:cs="宋体"/>
                <w:color w:val="auto"/>
                <w:szCs w:val="21"/>
                <w:highlight w:val="none"/>
              </w:rPr>
            </w:pPr>
            <w:r>
              <w:rPr>
                <w:rFonts w:hint="eastAsia" w:ascii="宋体" w:hAnsi="宋体" w:eastAsia="宋体" w:cs="Times New Roman"/>
                <w:color w:val="auto"/>
                <w:kern w:val="0"/>
                <w:szCs w:val="21"/>
                <w:highlight w:val="none"/>
              </w:rPr>
              <w:t>8</w:t>
            </w:r>
          </w:p>
        </w:tc>
        <w:tc>
          <w:tcPr>
            <w:tcW w:w="3049" w:type="pct"/>
            <w:gridSpan w:val="2"/>
            <w:shd w:val="clear" w:color="auto" w:fill="auto"/>
            <w:vAlign w:val="center"/>
          </w:tcPr>
          <w:p w14:paraId="283DE8EB">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一、评审内容：根据投标人提供的安全管理体系与措施进行计分，完全满足以下要求的计</w:t>
            </w:r>
            <w:r>
              <w:rPr>
                <w:rFonts w:hint="eastAsia" w:ascii="宋体" w:hAnsi="宋体" w:eastAsia="宋体" w:cs="Times New Roman"/>
                <w:color w:val="auto"/>
                <w:kern w:val="0"/>
                <w:szCs w:val="21"/>
                <w:highlight w:val="none"/>
                <w:lang w:val="en-US" w:eastAsia="zh-CN"/>
              </w:rPr>
              <w:t>8</w:t>
            </w:r>
            <w:r>
              <w:rPr>
                <w:rFonts w:hint="eastAsia" w:ascii="宋体" w:hAnsi="宋体" w:eastAsia="宋体" w:cs="Times New Roman"/>
                <w:color w:val="auto"/>
                <w:kern w:val="0"/>
                <w:szCs w:val="21"/>
                <w:highlight w:val="none"/>
              </w:rPr>
              <w:t>分：</w:t>
            </w:r>
          </w:p>
          <w:p w14:paraId="1B6DF212">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1、安全目标明确，优于磋商文件的要求；</w:t>
            </w:r>
          </w:p>
          <w:p w14:paraId="1FA9419B">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2、管理机构健全，职责分工明确；</w:t>
            </w:r>
          </w:p>
          <w:p w14:paraId="4F365D0F">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lang w:eastAsia="zh-CN"/>
              </w:rPr>
            </w:pPr>
            <w:r>
              <w:rPr>
                <w:rFonts w:hint="eastAsia" w:ascii="宋体" w:hAnsi="宋体" w:eastAsia="宋体" w:cs="Times New Roman"/>
                <w:color w:val="auto"/>
                <w:kern w:val="0"/>
                <w:szCs w:val="21"/>
                <w:highlight w:val="none"/>
              </w:rPr>
              <w:t>3、管理制度齐全</w:t>
            </w:r>
            <w:r>
              <w:rPr>
                <w:rFonts w:hint="eastAsia" w:ascii="宋体" w:hAnsi="宋体" w:cs="Times New Roman"/>
                <w:color w:val="auto"/>
                <w:kern w:val="0"/>
                <w:szCs w:val="21"/>
                <w:highlight w:val="none"/>
                <w:lang w:eastAsia="zh-CN"/>
              </w:rPr>
              <w:t>；</w:t>
            </w:r>
          </w:p>
          <w:p w14:paraId="25785496">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4、实施与监控措施全面、有效。</w:t>
            </w:r>
          </w:p>
          <w:p w14:paraId="0104D69F">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Times New Roman" w:hAnsi="Times New Roman" w:eastAsia="宋体" w:cs="Times New Roman"/>
                <w:color w:val="auto"/>
                <w:highlight w:val="none"/>
              </w:rPr>
            </w:pPr>
            <w:r>
              <w:rPr>
                <w:rFonts w:hint="eastAsia" w:ascii="宋体" w:hAnsi="宋体" w:eastAsia="宋体" w:cs="Times New Roman"/>
                <w:color w:val="auto"/>
                <w:kern w:val="0"/>
                <w:szCs w:val="21"/>
                <w:highlight w:val="none"/>
              </w:rPr>
              <w:t>二、扣分标准：上述内容，1、方案欠完善或针对性欠缺的每项扣</w:t>
            </w:r>
            <w:r>
              <w:rPr>
                <w:rFonts w:hint="eastAsia" w:ascii="宋体" w:hAnsi="宋体" w:eastAsia="宋体" w:cs="Times New Roman"/>
                <w:color w:val="auto"/>
                <w:kern w:val="0"/>
                <w:szCs w:val="21"/>
                <w:highlight w:val="none"/>
                <w:lang w:val="en-US" w:eastAsia="zh-CN"/>
              </w:rPr>
              <w:t>1</w:t>
            </w:r>
            <w:r>
              <w:rPr>
                <w:rFonts w:hint="eastAsia" w:ascii="宋体" w:hAnsi="宋体" w:eastAsia="宋体" w:cs="Times New Roman"/>
                <w:color w:val="auto"/>
                <w:kern w:val="0"/>
                <w:szCs w:val="21"/>
                <w:highlight w:val="none"/>
              </w:rPr>
              <w:t>分，上述扣分扣完为止；2、方案缺漏项或不合理的每项扣</w:t>
            </w:r>
            <w:r>
              <w:rPr>
                <w:rFonts w:hint="eastAsia" w:ascii="宋体" w:hAnsi="宋体" w:eastAsia="宋体" w:cs="Times New Roman"/>
                <w:color w:val="auto"/>
                <w:kern w:val="0"/>
                <w:szCs w:val="21"/>
                <w:highlight w:val="none"/>
                <w:lang w:val="en-US" w:eastAsia="zh-CN"/>
              </w:rPr>
              <w:t>2</w:t>
            </w:r>
            <w:r>
              <w:rPr>
                <w:rFonts w:hint="eastAsia" w:ascii="宋体" w:hAnsi="宋体" w:eastAsia="宋体" w:cs="Times New Roman"/>
                <w:color w:val="auto"/>
                <w:kern w:val="0"/>
                <w:szCs w:val="21"/>
                <w:highlight w:val="none"/>
              </w:rPr>
              <w:t>分，上述扣分扣完为止；3、未提供的不计分。</w:t>
            </w:r>
          </w:p>
        </w:tc>
      </w:tr>
      <w:tr w14:paraId="46AD4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9" w:hRule="atLeast"/>
        </w:trPr>
        <w:tc>
          <w:tcPr>
            <w:tcW w:w="370" w:type="pct"/>
            <w:vMerge w:val="continue"/>
            <w:shd w:val="clear" w:color="auto" w:fill="auto"/>
            <w:vAlign w:val="center"/>
          </w:tcPr>
          <w:p w14:paraId="667E86D6">
            <w:pPr>
              <w:widowControl/>
              <w:spacing w:line="288" w:lineRule="auto"/>
              <w:jc w:val="left"/>
              <w:rPr>
                <w:rFonts w:ascii="宋体" w:hAnsi="宋体" w:cs="宋体"/>
                <w:color w:val="auto"/>
                <w:szCs w:val="21"/>
                <w:highlight w:val="none"/>
              </w:rPr>
            </w:pPr>
          </w:p>
        </w:tc>
        <w:tc>
          <w:tcPr>
            <w:tcW w:w="456" w:type="pct"/>
            <w:vMerge w:val="continue"/>
            <w:shd w:val="clear" w:color="auto" w:fill="auto"/>
            <w:vAlign w:val="center"/>
          </w:tcPr>
          <w:p w14:paraId="4B7575DC">
            <w:pPr>
              <w:adjustRightInd w:val="0"/>
              <w:snapToGrid w:val="0"/>
              <w:spacing w:line="288" w:lineRule="auto"/>
              <w:rPr>
                <w:rFonts w:ascii="宋体" w:hAnsi="宋体" w:cs="宋体"/>
                <w:color w:val="auto"/>
                <w:szCs w:val="21"/>
                <w:highlight w:val="none"/>
                <w:lang w:bidi="ar"/>
              </w:rPr>
            </w:pPr>
          </w:p>
        </w:tc>
        <w:tc>
          <w:tcPr>
            <w:tcW w:w="767" w:type="pct"/>
            <w:shd w:val="clear" w:color="auto" w:fill="auto"/>
            <w:vAlign w:val="center"/>
          </w:tcPr>
          <w:p w14:paraId="14CACBDF">
            <w:pPr>
              <w:keepNext w:val="0"/>
              <w:keepLines w:val="0"/>
              <w:pageBreakBefore w:val="0"/>
              <w:widowControl w:val="0"/>
              <w:kinsoku/>
              <w:wordWrap/>
              <w:overflowPunct/>
              <w:topLinePunct w:val="0"/>
              <w:autoSpaceDE/>
              <w:autoSpaceDN/>
              <w:bidi w:val="0"/>
              <w:adjustRightInd w:val="0"/>
              <w:snapToGrid w:val="0"/>
              <w:spacing w:line="280" w:lineRule="exact"/>
              <w:ind w:right="-109" w:rightChars="-52"/>
              <w:jc w:val="center"/>
              <w:textAlignment w:val="auto"/>
              <w:rPr>
                <w:rFonts w:ascii="宋体" w:hAnsi="宋体" w:cs="宋体"/>
                <w:color w:val="auto"/>
                <w:kern w:val="0"/>
                <w:szCs w:val="21"/>
                <w:highlight w:val="none"/>
                <w:lang w:bidi="ar"/>
              </w:rPr>
            </w:pPr>
            <w:r>
              <w:rPr>
                <w:rFonts w:hint="eastAsia" w:ascii="宋体" w:hAnsi="宋体" w:eastAsia="宋体" w:cs="Times New Roman"/>
                <w:color w:val="auto"/>
                <w:kern w:val="0"/>
                <w:szCs w:val="21"/>
                <w:highlight w:val="none"/>
              </w:rPr>
              <w:t>环境保护管理体系与措施</w:t>
            </w:r>
          </w:p>
        </w:tc>
        <w:tc>
          <w:tcPr>
            <w:tcW w:w="357" w:type="pct"/>
            <w:shd w:val="clear" w:color="auto" w:fill="auto"/>
            <w:vAlign w:val="center"/>
          </w:tcPr>
          <w:p w14:paraId="7237AC94">
            <w:pPr>
              <w:keepNext w:val="0"/>
              <w:keepLines w:val="0"/>
              <w:pageBreakBefore w:val="0"/>
              <w:widowControl w:val="0"/>
              <w:kinsoku/>
              <w:wordWrap/>
              <w:overflowPunct/>
              <w:topLinePunct w:val="0"/>
              <w:autoSpaceDE/>
              <w:autoSpaceDN/>
              <w:bidi w:val="0"/>
              <w:spacing w:line="280" w:lineRule="exact"/>
              <w:jc w:val="center"/>
              <w:textAlignment w:val="auto"/>
              <w:rPr>
                <w:rFonts w:hint="default" w:ascii="宋体" w:hAnsi="宋体" w:eastAsia="宋体" w:cs="宋体"/>
                <w:color w:val="auto"/>
                <w:szCs w:val="21"/>
                <w:highlight w:val="none"/>
                <w:lang w:val="en-US" w:eastAsia="zh-CN"/>
              </w:rPr>
            </w:pPr>
            <w:r>
              <w:rPr>
                <w:rFonts w:hint="eastAsia" w:ascii="宋体" w:hAnsi="宋体" w:eastAsia="宋体" w:cs="Times New Roman"/>
                <w:color w:val="auto"/>
                <w:kern w:val="0"/>
                <w:szCs w:val="21"/>
                <w:highlight w:val="none"/>
              </w:rPr>
              <w:t>8</w:t>
            </w:r>
          </w:p>
        </w:tc>
        <w:tc>
          <w:tcPr>
            <w:tcW w:w="3049" w:type="pct"/>
            <w:gridSpan w:val="2"/>
            <w:shd w:val="clear" w:color="auto" w:fill="auto"/>
            <w:vAlign w:val="center"/>
          </w:tcPr>
          <w:p w14:paraId="51D4FB81">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一、评审内容：根据投标人提供的环境保护管理体系与措施进行计分，完全满足以下要求的计</w:t>
            </w:r>
            <w:r>
              <w:rPr>
                <w:rFonts w:hint="eastAsia" w:ascii="宋体" w:hAnsi="宋体" w:eastAsia="宋体" w:cs="Times New Roman"/>
                <w:color w:val="auto"/>
                <w:kern w:val="0"/>
                <w:szCs w:val="21"/>
                <w:highlight w:val="none"/>
                <w:lang w:val="en-US" w:eastAsia="zh-CN"/>
              </w:rPr>
              <w:t>8</w:t>
            </w:r>
            <w:r>
              <w:rPr>
                <w:rFonts w:hint="eastAsia" w:ascii="宋体" w:hAnsi="宋体" w:eastAsia="宋体" w:cs="Times New Roman"/>
                <w:color w:val="auto"/>
                <w:kern w:val="0"/>
                <w:szCs w:val="21"/>
                <w:highlight w:val="none"/>
              </w:rPr>
              <w:t>分：</w:t>
            </w:r>
          </w:p>
          <w:p w14:paraId="23CD6FD7">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1、环境目标明确，优于磋商文件的要求；</w:t>
            </w:r>
          </w:p>
          <w:p w14:paraId="7C06A329">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2、管理机构健全，职责分工明确；</w:t>
            </w:r>
          </w:p>
          <w:p w14:paraId="5D2025E0">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3、管理制度齐全；</w:t>
            </w:r>
          </w:p>
          <w:p w14:paraId="4434D68A">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4、实施与监控措施全面、有效。</w:t>
            </w:r>
          </w:p>
          <w:p w14:paraId="732EEEEF">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Times New Roman" w:hAnsi="Times New Roman" w:eastAsia="宋体" w:cs="Times New Roman"/>
                <w:color w:val="auto"/>
                <w:highlight w:val="none"/>
              </w:rPr>
            </w:pPr>
            <w:r>
              <w:rPr>
                <w:rFonts w:hint="eastAsia" w:ascii="宋体" w:hAnsi="宋体" w:eastAsia="宋体" w:cs="Times New Roman"/>
                <w:color w:val="auto"/>
                <w:kern w:val="0"/>
                <w:szCs w:val="21"/>
                <w:highlight w:val="none"/>
              </w:rPr>
              <w:t>二、扣分标准：上述内容，1、方案欠完善或针对性欠缺的每项扣</w:t>
            </w:r>
            <w:r>
              <w:rPr>
                <w:rFonts w:hint="eastAsia" w:ascii="宋体" w:hAnsi="宋体" w:eastAsia="宋体" w:cs="Times New Roman"/>
                <w:color w:val="auto"/>
                <w:kern w:val="0"/>
                <w:szCs w:val="21"/>
                <w:highlight w:val="none"/>
                <w:lang w:val="en-US" w:eastAsia="zh-CN"/>
              </w:rPr>
              <w:t>1</w:t>
            </w:r>
            <w:r>
              <w:rPr>
                <w:rFonts w:hint="eastAsia" w:ascii="宋体" w:hAnsi="宋体" w:eastAsia="宋体" w:cs="Times New Roman"/>
                <w:color w:val="auto"/>
                <w:kern w:val="0"/>
                <w:szCs w:val="21"/>
                <w:highlight w:val="none"/>
              </w:rPr>
              <w:t>分，上述扣分扣完为止；2、方案缺漏项或不合理的每项扣</w:t>
            </w:r>
            <w:r>
              <w:rPr>
                <w:rFonts w:hint="eastAsia" w:ascii="宋体" w:hAnsi="宋体" w:eastAsia="宋体" w:cs="Times New Roman"/>
                <w:color w:val="auto"/>
                <w:kern w:val="0"/>
                <w:szCs w:val="21"/>
                <w:highlight w:val="none"/>
                <w:lang w:val="en-US" w:eastAsia="zh-CN"/>
              </w:rPr>
              <w:t>2</w:t>
            </w:r>
            <w:r>
              <w:rPr>
                <w:rFonts w:hint="eastAsia" w:ascii="宋体" w:hAnsi="宋体" w:eastAsia="宋体" w:cs="Times New Roman"/>
                <w:color w:val="auto"/>
                <w:kern w:val="0"/>
                <w:szCs w:val="21"/>
                <w:highlight w:val="none"/>
              </w:rPr>
              <w:t>分，上述扣分扣完为止；3、未提供的不计分。</w:t>
            </w:r>
          </w:p>
        </w:tc>
      </w:tr>
      <w:tr w14:paraId="33B4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26" w:hRule="atLeast"/>
        </w:trPr>
        <w:tc>
          <w:tcPr>
            <w:tcW w:w="370" w:type="pct"/>
            <w:vMerge w:val="continue"/>
            <w:shd w:val="clear" w:color="auto" w:fill="auto"/>
            <w:vAlign w:val="center"/>
          </w:tcPr>
          <w:p w14:paraId="1D5F9C46">
            <w:pPr>
              <w:widowControl/>
              <w:spacing w:line="288" w:lineRule="auto"/>
              <w:jc w:val="left"/>
              <w:rPr>
                <w:rFonts w:ascii="宋体" w:hAnsi="宋体" w:cs="宋体"/>
                <w:color w:val="auto"/>
                <w:szCs w:val="21"/>
                <w:highlight w:val="none"/>
              </w:rPr>
            </w:pPr>
          </w:p>
        </w:tc>
        <w:tc>
          <w:tcPr>
            <w:tcW w:w="456" w:type="pct"/>
            <w:vMerge w:val="continue"/>
            <w:shd w:val="clear" w:color="auto" w:fill="auto"/>
            <w:vAlign w:val="center"/>
          </w:tcPr>
          <w:p w14:paraId="6E55D28D">
            <w:pPr>
              <w:adjustRightInd w:val="0"/>
              <w:snapToGrid w:val="0"/>
              <w:spacing w:line="288" w:lineRule="auto"/>
              <w:rPr>
                <w:rFonts w:ascii="宋体" w:hAnsi="宋体" w:cs="宋体"/>
                <w:color w:val="auto"/>
                <w:szCs w:val="21"/>
                <w:highlight w:val="none"/>
                <w:lang w:bidi="ar"/>
              </w:rPr>
            </w:pPr>
          </w:p>
        </w:tc>
        <w:tc>
          <w:tcPr>
            <w:tcW w:w="767" w:type="pct"/>
            <w:shd w:val="clear" w:color="auto" w:fill="auto"/>
            <w:vAlign w:val="center"/>
          </w:tcPr>
          <w:p w14:paraId="1D13DB98">
            <w:pPr>
              <w:keepNext w:val="0"/>
              <w:keepLines w:val="0"/>
              <w:pageBreakBefore w:val="0"/>
              <w:widowControl w:val="0"/>
              <w:kinsoku/>
              <w:wordWrap/>
              <w:overflowPunct/>
              <w:topLinePunct w:val="0"/>
              <w:autoSpaceDE/>
              <w:autoSpaceDN/>
              <w:bidi w:val="0"/>
              <w:adjustRightInd w:val="0"/>
              <w:snapToGrid w:val="0"/>
              <w:spacing w:line="280" w:lineRule="exact"/>
              <w:ind w:right="-109" w:rightChars="-52"/>
              <w:jc w:val="center"/>
              <w:textAlignment w:val="auto"/>
              <w:rPr>
                <w:rFonts w:ascii="宋体" w:hAnsi="宋体" w:cs="宋体"/>
                <w:color w:val="auto"/>
                <w:kern w:val="0"/>
                <w:szCs w:val="21"/>
                <w:highlight w:val="none"/>
                <w:lang w:bidi="ar"/>
              </w:rPr>
            </w:pPr>
            <w:r>
              <w:rPr>
                <w:rFonts w:hint="eastAsia" w:ascii="宋体" w:hAnsi="宋体" w:eastAsia="宋体" w:cs="Times New Roman"/>
                <w:color w:val="auto"/>
                <w:kern w:val="0"/>
                <w:szCs w:val="21"/>
                <w:highlight w:val="none"/>
              </w:rPr>
              <w:t>资源配备计划</w:t>
            </w:r>
          </w:p>
        </w:tc>
        <w:tc>
          <w:tcPr>
            <w:tcW w:w="357" w:type="pct"/>
            <w:shd w:val="clear" w:color="auto" w:fill="auto"/>
            <w:vAlign w:val="center"/>
          </w:tcPr>
          <w:p w14:paraId="2F8A4D30">
            <w:pPr>
              <w:keepNext w:val="0"/>
              <w:keepLines w:val="0"/>
              <w:pageBreakBefore w:val="0"/>
              <w:widowControl w:val="0"/>
              <w:kinsoku/>
              <w:wordWrap/>
              <w:overflowPunct/>
              <w:topLinePunct w:val="0"/>
              <w:autoSpaceDE/>
              <w:autoSpaceDN/>
              <w:bidi w:val="0"/>
              <w:spacing w:line="28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cs="Times New Roman"/>
                <w:color w:val="auto"/>
                <w:kern w:val="0"/>
                <w:szCs w:val="21"/>
                <w:highlight w:val="none"/>
                <w:lang w:val="en-US" w:eastAsia="zh-CN"/>
              </w:rPr>
              <w:t>5</w:t>
            </w:r>
          </w:p>
        </w:tc>
        <w:tc>
          <w:tcPr>
            <w:tcW w:w="3049" w:type="pct"/>
            <w:gridSpan w:val="2"/>
            <w:shd w:val="clear" w:color="auto" w:fill="auto"/>
            <w:vAlign w:val="center"/>
          </w:tcPr>
          <w:p w14:paraId="6BAD6CC7">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一、评审内容：根据投标人提供的资源配备计划进行计分，完全满足以下要求的计</w:t>
            </w:r>
            <w:r>
              <w:rPr>
                <w:rFonts w:hint="eastAsia" w:ascii="宋体" w:hAnsi="宋体" w:cs="Times New Roman"/>
                <w:color w:val="auto"/>
                <w:kern w:val="0"/>
                <w:szCs w:val="21"/>
                <w:highlight w:val="none"/>
                <w:lang w:val="en-US" w:eastAsia="zh-CN"/>
              </w:rPr>
              <w:t>5</w:t>
            </w:r>
            <w:r>
              <w:rPr>
                <w:rFonts w:hint="eastAsia" w:ascii="宋体" w:hAnsi="宋体" w:eastAsia="宋体" w:cs="Times New Roman"/>
                <w:color w:val="auto"/>
                <w:kern w:val="0"/>
                <w:szCs w:val="21"/>
                <w:highlight w:val="none"/>
              </w:rPr>
              <w:t>分：</w:t>
            </w:r>
          </w:p>
          <w:p w14:paraId="1C617082">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1、资源投入计划与施工部署、施工方法及进度计划呼应；</w:t>
            </w:r>
          </w:p>
          <w:p w14:paraId="5929C93C">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2、资源调配投入计划合理、准确。</w:t>
            </w:r>
          </w:p>
          <w:p w14:paraId="0B491353">
            <w:pPr>
              <w:keepNext w:val="0"/>
              <w:keepLines w:val="0"/>
              <w:pageBreakBefore w:val="0"/>
              <w:widowControl w:val="0"/>
              <w:kinsoku/>
              <w:wordWrap/>
              <w:overflowPunct/>
              <w:topLinePunct w:val="0"/>
              <w:autoSpaceDE/>
              <w:autoSpaceDN/>
              <w:bidi w:val="0"/>
              <w:snapToGrid w:val="0"/>
              <w:spacing w:line="280" w:lineRule="exact"/>
              <w:jc w:val="left"/>
              <w:textAlignment w:val="auto"/>
              <w:rPr>
                <w:rFonts w:hint="eastAsia" w:ascii="Times New Roman" w:hAnsi="Times New Roman" w:eastAsia="宋体" w:cs="Times New Roman"/>
                <w:color w:val="auto"/>
                <w:highlight w:val="none"/>
              </w:rPr>
            </w:pPr>
            <w:r>
              <w:rPr>
                <w:rFonts w:hint="eastAsia" w:ascii="宋体" w:hAnsi="宋体" w:eastAsia="宋体" w:cs="Times New Roman"/>
                <w:color w:val="auto"/>
                <w:kern w:val="0"/>
                <w:szCs w:val="21"/>
                <w:highlight w:val="none"/>
              </w:rPr>
              <w:t>二、扣分标准：上述内容，1、方案欠完善或针对性欠缺的每项扣</w:t>
            </w:r>
            <w:r>
              <w:rPr>
                <w:rFonts w:hint="eastAsia" w:ascii="宋体" w:hAnsi="宋体" w:cs="Times New Roman"/>
                <w:color w:val="auto"/>
                <w:kern w:val="0"/>
                <w:szCs w:val="21"/>
                <w:highlight w:val="none"/>
                <w:lang w:val="en-US" w:eastAsia="zh-CN"/>
              </w:rPr>
              <w:t>1.5</w:t>
            </w:r>
            <w:r>
              <w:rPr>
                <w:rFonts w:hint="eastAsia" w:ascii="宋体" w:hAnsi="宋体" w:eastAsia="宋体" w:cs="Times New Roman"/>
                <w:color w:val="auto"/>
                <w:kern w:val="0"/>
                <w:szCs w:val="21"/>
                <w:highlight w:val="none"/>
              </w:rPr>
              <w:t>分，上述扣分扣完为止；2、方案缺漏项或不合理的每项扣</w:t>
            </w:r>
            <w:r>
              <w:rPr>
                <w:rFonts w:hint="eastAsia" w:ascii="宋体" w:hAnsi="宋体" w:cs="Times New Roman"/>
                <w:color w:val="auto"/>
                <w:kern w:val="0"/>
                <w:szCs w:val="21"/>
                <w:highlight w:val="none"/>
                <w:lang w:val="en-US" w:eastAsia="zh-CN"/>
              </w:rPr>
              <w:t>2.5</w:t>
            </w:r>
            <w:r>
              <w:rPr>
                <w:rFonts w:hint="eastAsia" w:ascii="宋体" w:hAnsi="宋体" w:eastAsia="宋体" w:cs="Times New Roman"/>
                <w:color w:val="auto"/>
                <w:kern w:val="0"/>
                <w:szCs w:val="21"/>
                <w:highlight w:val="none"/>
              </w:rPr>
              <w:t>分，上述扣分扣完为止；3、未提供的不计分。</w:t>
            </w:r>
          </w:p>
        </w:tc>
      </w:tr>
      <w:tr w14:paraId="4707C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trPr>
        <w:tc>
          <w:tcPr>
            <w:tcW w:w="370" w:type="pct"/>
            <w:vMerge w:val="restart"/>
            <w:shd w:val="clear" w:color="auto" w:fill="auto"/>
            <w:vAlign w:val="center"/>
          </w:tcPr>
          <w:p w14:paraId="2CFD8AF0">
            <w:pPr>
              <w:widowControl/>
              <w:spacing w:line="288" w:lineRule="auto"/>
              <w:jc w:val="center"/>
              <w:rPr>
                <w:rFonts w:ascii="宋体" w:hAnsi="宋体" w:cs="宋体"/>
                <w:color w:val="auto"/>
                <w:szCs w:val="21"/>
                <w:highlight w:val="none"/>
              </w:rPr>
            </w:pPr>
            <w:r>
              <w:rPr>
                <w:rFonts w:ascii="宋体" w:hAnsi="宋体" w:cs="宋体"/>
                <w:color w:val="auto"/>
                <w:szCs w:val="21"/>
                <w:highlight w:val="none"/>
              </w:rPr>
              <w:t>3</w:t>
            </w:r>
          </w:p>
        </w:tc>
        <w:tc>
          <w:tcPr>
            <w:tcW w:w="456" w:type="pct"/>
            <w:vMerge w:val="restart"/>
            <w:shd w:val="clear" w:color="auto" w:fill="auto"/>
            <w:vAlign w:val="center"/>
          </w:tcPr>
          <w:p w14:paraId="3CA54077">
            <w:pPr>
              <w:spacing w:line="288" w:lineRule="auto"/>
              <w:jc w:val="center"/>
              <w:rPr>
                <w:rFonts w:ascii="宋体" w:hAnsi="宋体" w:cs="宋体"/>
                <w:color w:val="auto"/>
                <w:szCs w:val="21"/>
                <w:highlight w:val="none"/>
              </w:rPr>
            </w:pPr>
            <w:r>
              <w:rPr>
                <w:rFonts w:hint="eastAsia" w:ascii="宋体" w:hAnsi="宋体" w:cs="宋体"/>
                <w:color w:val="auto"/>
                <w:szCs w:val="21"/>
                <w:highlight w:val="none"/>
              </w:rPr>
              <w:t>商务（</w:t>
            </w:r>
            <w:r>
              <w:rPr>
                <w:rFonts w:hint="eastAsia" w:ascii="宋体" w:hAnsi="宋体" w:cs="宋体"/>
                <w:color w:val="auto"/>
                <w:szCs w:val="21"/>
                <w:highlight w:val="none"/>
                <w:lang w:val="en-US" w:eastAsia="zh-CN"/>
              </w:rPr>
              <w:t>2</w:t>
            </w:r>
            <w:r>
              <w:rPr>
                <w:rFonts w:ascii="宋体" w:hAnsi="宋体" w:cs="宋体"/>
                <w:color w:val="auto"/>
                <w:szCs w:val="21"/>
                <w:highlight w:val="none"/>
              </w:rPr>
              <w:t>0分）</w:t>
            </w:r>
          </w:p>
        </w:tc>
        <w:tc>
          <w:tcPr>
            <w:tcW w:w="767" w:type="pct"/>
            <w:shd w:val="clear" w:color="auto" w:fill="auto"/>
            <w:vAlign w:val="center"/>
          </w:tcPr>
          <w:p w14:paraId="06C0B919">
            <w:pPr>
              <w:keepNext w:val="0"/>
              <w:keepLines w:val="0"/>
              <w:pageBreakBefore w:val="0"/>
              <w:widowControl w:val="0"/>
              <w:kinsoku/>
              <w:wordWrap/>
              <w:overflowPunct/>
              <w:topLinePunct w:val="0"/>
              <w:autoSpaceDE/>
              <w:autoSpaceDN/>
              <w:bidi w:val="0"/>
              <w:snapToGrid w:val="0"/>
              <w:spacing w:line="280" w:lineRule="exact"/>
              <w:jc w:val="center"/>
              <w:textAlignment w:val="auto"/>
              <w:rPr>
                <w:rFonts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color w:val="auto"/>
                <w:kern w:val="0"/>
                <w:szCs w:val="21"/>
                <w:highlight w:val="none"/>
              </w:rPr>
              <w:t>类似业绩</w:t>
            </w:r>
          </w:p>
        </w:tc>
        <w:tc>
          <w:tcPr>
            <w:tcW w:w="357" w:type="pct"/>
            <w:shd w:val="clear" w:color="auto" w:fill="auto"/>
            <w:vAlign w:val="center"/>
          </w:tcPr>
          <w:p w14:paraId="7DB053ED">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Times New Roman"/>
                <w:color w:val="auto"/>
                <w:kern w:val="0"/>
                <w:szCs w:val="21"/>
                <w:highlight w:val="none"/>
                <w:lang w:val="en-US" w:eastAsia="zh-CN"/>
              </w:rPr>
              <w:t>15</w:t>
            </w:r>
          </w:p>
        </w:tc>
        <w:tc>
          <w:tcPr>
            <w:tcW w:w="3049" w:type="pct"/>
            <w:gridSpan w:val="2"/>
            <w:shd w:val="clear" w:color="auto" w:fill="auto"/>
            <w:vAlign w:val="center"/>
          </w:tcPr>
          <w:p w14:paraId="79E2C15F">
            <w:pPr>
              <w:keepNext w:val="0"/>
              <w:keepLines w:val="0"/>
              <w:pageBreakBefore w:val="0"/>
              <w:widowControl w:val="0"/>
              <w:kinsoku/>
              <w:wordWrap/>
              <w:overflowPunct/>
              <w:topLinePunct w:val="0"/>
              <w:autoSpaceDE/>
              <w:autoSpaceDN/>
              <w:bidi w:val="0"/>
              <w:spacing w:line="280" w:lineRule="exact"/>
              <w:textAlignment w:val="auto"/>
              <w:rPr>
                <w:rFonts w:hint="eastAsia"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供应商提供类似项目经验：近三年（即提交首次响应文件截止时间前36个月内）具有</w:t>
            </w:r>
            <w:r>
              <w:rPr>
                <w:rFonts w:hint="eastAsia" w:ascii="宋体" w:hAnsi="宋体" w:cs="Times New Roman"/>
                <w:color w:val="auto"/>
                <w:kern w:val="0"/>
                <w:szCs w:val="21"/>
                <w:highlight w:val="none"/>
                <w:lang w:val="en-US" w:eastAsia="zh-CN"/>
              </w:rPr>
              <w:t>防水</w:t>
            </w:r>
            <w:r>
              <w:rPr>
                <w:rFonts w:hint="eastAsia" w:ascii="宋体" w:hAnsi="宋体" w:eastAsia="宋体" w:cs="Times New Roman"/>
                <w:color w:val="auto"/>
                <w:kern w:val="0"/>
                <w:szCs w:val="21"/>
                <w:highlight w:val="none"/>
              </w:rPr>
              <w:t>类似业绩的</w:t>
            </w:r>
            <w:r>
              <w:rPr>
                <w:rFonts w:hint="eastAsia" w:ascii="宋体" w:hAnsi="宋体" w:cs="Times New Roman"/>
                <w:color w:val="auto"/>
                <w:kern w:val="0"/>
                <w:szCs w:val="21"/>
                <w:highlight w:val="none"/>
                <w:lang w:eastAsia="zh-CN"/>
              </w:rPr>
              <w:t>，</w:t>
            </w:r>
            <w:r>
              <w:rPr>
                <w:rFonts w:hint="eastAsia" w:ascii="宋体" w:hAnsi="宋体" w:eastAsia="宋体" w:cs="Times New Roman"/>
                <w:color w:val="auto"/>
                <w:kern w:val="0"/>
                <w:szCs w:val="21"/>
                <w:highlight w:val="none"/>
              </w:rPr>
              <w:t>每提供一个计</w:t>
            </w:r>
            <w:r>
              <w:rPr>
                <w:rFonts w:hint="eastAsia" w:ascii="宋体" w:hAnsi="宋体" w:eastAsia="宋体" w:cs="Times New Roman"/>
                <w:color w:val="auto"/>
                <w:kern w:val="0"/>
                <w:szCs w:val="21"/>
                <w:highlight w:val="none"/>
                <w:lang w:val="en-US" w:eastAsia="zh-CN"/>
              </w:rPr>
              <w:t>5</w:t>
            </w:r>
            <w:r>
              <w:rPr>
                <w:rFonts w:hint="eastAsia" w:ascii="宋体" w:hAnsi="宋体" w:eastAsia="宋体" w:cs="Times New Roman"/>
                <w:color w:val="auto"/>
                <w:kern w:val="0"/>
                <w:szCs w:val="21"/>
                <w:highlight w:val="none"/>
              </w:rPr>
              <w:t>分，满分</w:t>
            </w:r>
            <w:r>
              <w:rPr>
                <w:rFonts w:hint="eastAsia" w:ascii="宋体" w:hAnsi="宋体" w:eastAsia="宋体" w:cs="Times New Roman"/>
                <w:color w:val="auto"/>
                <w:kern w:val="0"/>
                <w:szCs w:val="21"/>
                <w:highlight w:val="none"/>
                <w:lang w:val="en-US" w:eastAsia="zh-CN"/>
              </w:rPr>
              <w:t>15</w:t>
            </w:r>
            <w:r>
              <w:rPr>
                <w:rFonts w:hint="eastAsia" w:ascii="宋体" w:hAnsi="宋体" w:eastAsia="宋体" w:cs="Times New Roman"/>
                <w:color w:val="auto"/>
                <w:kern w:val="0"/>
                <w:szCs w:val="21"/>
                <w:highlight w:val="none"/>
              </w:rPr>
              <w:t>分。</w:t>
            </w:r>
          </w:p>
          <w:p w14:paraId="1C807FA7">
            <w:pPr>
              <w:keepNext w:val="0"/>
              <w:keepLines w:val="0"/>
              <w:pageBreakBefore w:val="0"/>
              <w:widowControl w:val="0"/>
              <w:kinsoku/>
              <w:wordWrap/>
              <w:overflowPunct/>
              <w:topLinePunct w:val="0"/>
              <w:autoSpaceDE/>
              <w:autoSpaceDN/>
              <w:bidi w:val="0"/>
              <w:spacing w:line="280" w:lineRule="exact"/>
              <w:textAlignment w:val="auto"/>
              <w:rPr>
                <w:rFonts w:hint="eastAsia" w:ascii="Times New Roman" w:hAnsi="Times New Roman" w:eastAsia="宋体" w:cs="Times New Roman"/>
                <w:color w:val="auto"/>
                <w:highlight w:val="none"/>
                <w:lang w:val="en-US" w:eastAsia="zh-CN"/>
              </w:rPr>
            </w:pPr>
            <w:r>
              <w:rPr>
                <w:rFonts w:hint="eastAsia" w:ascii="宋体" w:hAnsi="宋体" w:eastAsia="宋体" w:cs="Times New Roman"/>
                <w:b/>
                <w:color w:val="auto"/>
                <w:kern w:val="0"/>
                <w:szCs w:val="21"/>
                <w:highlight w:val="none"/>
              </w:rPr>
              <w:t>注：时间按施工合同中建设单位签字的时间计算，响应文件中提供合同复印件并加盖供应商公章，否则不计分。</w:t>
            </w:r>
          </w:p>
        </w:tc>
      </w:tr>
      <w:tr w14:paraId="46C1C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62" w:hRule="atLeast"/>
        </w:trPr>
        <w:tc>
          <w:tcPr>
            <w:tcW w:w="370" w:type="pct"/>
            <w:vMerge w:val="continue"/>
            <w:shd w:val="clear" w:color="auto" w:fill="auto"/>
            <w:vAlign w:val="center"/>
          </w:tcPr>
          <w:p w14:paraId="3DCBE7D9">
            <w:pPr>
              <w:widowControl/>
              <w:spacing w:line="288" w:lineRule="auto"/>
              <w:jc w:val="left"/>
              <w:rPr>
                <w:rFonts w:ascii="宋体" w:hAnsi="宋体" w:cs="宋体"/>
                <w:color w:val="auto"/>
                <w:szCs w:val="21"/>
                <w:highlight w:val="none"/>
              </w:rPr>
            </w:pPr>
          </w:p>
        </w:tc>
        <w:tc>
          <w:tcPr>
            <w:tcW w:w="456" w:type="pct"/>
            <w:vMerge w:val="continue"/>
            <w:shd w:val="clear" w:color="auto" w:fill="auto"/>
            <w:vAlign w:val="center"/>
          </w:tcPr>
          <w:p w14:paraId="302E8E9D">
            <w:pPr>
              <w:widowControl/>
              <w:spacing w:line="288" w:lineRule="auto"/>
              <w:jc w:val="left"/>
              <w:rPr>
                <w:rFonts w:ascii="宋体" w:hAnsi="宋体" w:cs="宋体"/>
                <w:color w:val="auto"/>
                <w:szCs w:val="21"/>
                <w:highlight w:val="none"/>
              </w:rPr>
            </w:pPr>
          </w:p>
        </w:tc>
        <w:tc>
          <w:tcPr>
            <w:tcW w:w="767" w:type="pct"/>
            <w:shd w:val="clear" w:color="auto" w:fill="auto"/>
            <w:vAlign w:val="center"/>
          </w:tcPr>
          <w:p w14:paraId="61C07706">
            <w:pPr>
              <w:keepNext w:val="0"/>
              <w:keepLines w:val="0"/>
              <w:pageBreakBefore w:val="0"/>
              <w:widowControl w:val="0"/>
              <w:kinsoku/>
              <w:wordWrap/>
              <w:overflowPunct/>
              <w:topLinePunct w:val="0"/>
              <w:autoSpaceDE/>
              <w:autoSpaceDN/>
              <w:bidi w:val="0"/>
              <w:snapToGrid w:val="0"/>
              <w:spacing w:line="280" w:lineRule="exact"/>
              <w:jc w:val="center"/>
              <w:textAlignment w:val="auto"/>
              <w:rPr>
                <w:rFonts w:hint="eastAsia" w:ascii="宋体" w:hAnsi="宋体" w:eastAsia="宋体" w:cs="宋体"/>
                <w:color w:val="auto"/>
                <w:szCs w:val="21"/>
                <w:highlight w:val="none"/>
                <w:lang w:eastAsia="zh-CN"/>
              </w:rPr>
            </w:pPr>
            <w:r>
              <w:rPr>
                <w:rFonts w:hint="eastAsia" w:ascii="宋体" w:hAnsi="宋体" w:eastAsia="宋体" w:cs="Times New Roman"/>
                <w:color w:val="auto"/>
                <w:kern w:val="0"/>
                <w:szCs w:val="21"/>
                <w:highlight w:val="none"/>
              </w:rPr>
              <w:t>项目负责人无不良行为记录</w:t>
            </w:r>
          </w:p>
        </w:tc>
        <w:tc>
          <w:tcPr>
            <w:tcW w:w="357" w:type="pct"/>
            <w:shd w:val="clear" w:color="auto" w:fill="auto"/>
            <w:vAlign w:val="center"/>
          </w:tcPr>
          <w:p w14:paraId="4B7AF38A">
            <w:pPr>
              <w:keepNext w:val="0"/>
              <w:keepLines w:val="0"/>
              <w:pageBreakBefore w:val="0"/>
              <w:widowControl w:val="0"/>
              <w:kinsoku/>
              <w:wordWrap/>
              <w:overflowPunct/>
              <w:topLinePunct w:val="0"/>
              <w:autoSpaceDE/>
              <w:autoSpaceDN/>
              <w:bidi w:val="0"/>
              <w:spacing w:line="280" w:lineRule="exact"/>
              <w:jc w:val="center"/>
              <w:textAlignment w:val="auto"/>
              <w:rPr>
                <w:rFonts w:hint="eastAsia" w:ascii="宋体" w:hAnsi="宋体" w:eastAsia="宋体" w:cs="宋体"/>
                <w:color w:val="auto"/>
                <w:szCs w:val="21"/>
                <w:highlight w:val="none"/>
                <w:lang w:eastAsia="zh-CN"/>
              </w:rPr>
            </w:pPr>
            <w:r>
              <w:rPr>
                <w:rFonts w:hint="eastAsia" w:ascii="宋体" w:hAnsi="宋体" w:cs="Times New Roman"/>
                <w:color w:val="auto"/>
                <w:kern w:val="0"/>
                <w:szCs w:val="21"/>
                <w:highlight w:val="none"/>
                <w:lang w:val="en-US" w:eastAsia="zh-CN"/>
              </w:rPr>
              <w:t>5</w:t>
            </w:r>
          </w:p>
        </w:tc>
        <w:tc>
          <w:tcPr>
            <w:tcW w:w="3049" w:type="pct"/>
            <w:gridSpan w:val="2"/>
            <w:shd w:val="clear" w:color="auto" w:fill="auto"/>
            <w:vAlign w:val="center"/>
          </w:tcPr>
          <w:p w14:paraId="300C07D3">
            <w:pPr>
              <w:spacing w:line="276" w:lineRule="auto"/>
              <w:rPr>
                <w:rFonts w:hint="eastAsia"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供应商应在响应文件中如实反映拟任项目负责人的不良行为记录，拟任项目经理不良行为</w:t>
            </w:r>
            <w:r>
              <w:rPr>
                <w:rFonts w:hint="eastAsia" w:ascii="宋体" w:hAnsi="宋体" w:eastAsia="宋体" w:cs="Times New Roman"/>
                <w:bCs/>
                <w:color w:val="auto"/>
                <w:kern w:val="0"/>
                <w:szCs w:val="21"/>
                <w:highlight w:val="none"/>
                <w:lang w:eastAsia="zh-CN"/>
              </w:rPr>
              <w:t>：湖南省行政区域内的不良行为记录以湖南省住房和城乡建设厅公布的结果为准，有效期按照《湖南省建筑市场责任主体不良行为记录》规定执行;湖南省行政区域外的不良行为记录以全国建筑市场监管公共服务平台公布的信息为准，按严重不良行为记录扣分，有效期按照平台中注明的有效期执行</w:t>
            </w:r>
            <w:r>
              <w:rPr>
                <w:rFonts w:hint="eastAsia" w:ascii="宋体" w:hAnsi="宋体" w:eastAsia="宋体" w:cs="Times New Roman"/>
                <w:bCs/>
                <w:color w:val="auto"/>
                <w:kern w:val="0"/>
                <w:szCs w:val="21"/>
                <w:highlight w:val="none"/>
              </w:rPr>
              <w:t>。无不良行为记录计</w:t>
            </w:r>
            <w:r>
              <w:rPr>
                <w:rFonts w:hint="eastAsia" w:ascii="宋体" w:hAnsi="宋体" w:cs="Times New Roman"/>
                <w:bCs/>
                <w:color w:val="auto"/>
                <w:kern w:val="0"/>
                <w:szCs w:val="21"/>
                <w:highlight w:val="none"/>
                <w:lang w:val="en-US" w:eastAsia="zh-CN"/>
              </w:rPr>
              <w:t>5</w:t>
            </w:r>
            <w:r>
              <w:rPr>
                <w:rFonts w:hint="eastAsia" w:ascii="宋体" w:hAnsi="宋体" w:eastAsia="宋体" w:cs="Times New Roman"/>
                <w:bCs/>
                <w:color w:val="auto"/>
                <w:kern w:val="0"/>
                <w:szCs w:val="21"/>
                <w:highlight w:val="none"/>
              </w:rPr>
              <w:t>分，一般不良行为记录每条扣</w:t>
            </w:r>
            <w:r>
              <w:rPr>
                <w:rFonts w:hint="eastAsia" w:ascii="宋体" w:hAnsi="宋体" w:cs="Times New Roman"/>
                <w:bCs/>
                <w:color w:val="auto"/>
                <w:kern w:val="0"/>
                <w:szCs w:val="21"/>
                <w:highlight w:val="none"/>
                <w:lang w:val="en-US" w:eastAsia="zh-CN"/>
              </w:rPr>
              <w:t>3</w:t>
            </w:r>
            <w:r>
              <w:rPr>
                <w:rFonts w:hint="eastAsia" w:ascii="宋体" w:hAnsi="宋体" w:eastAsia="宋体" w:cs="Times New Roman"/>
                <w:bCs/>
                <w:color w:val="auto"/>
                <w:kern w:val="0"/>
                <w:szCs w:val="21"/>
                <w:highlight w:val="none"/>
              </w:rPr>
              <w:t>分，严重不良行为记录每条扣</w:t>
            </w:r>
            <w:r>
              <w:rPr>
                <w:rFonts w:hint="eastAsia" w:ascii="宋体" w:hAnsi="宋体" w:cs="Times New Roman"/>
                <w:bCs/>
                <w:color w:val="auto"/>
                <w:kern w:val="0"/>
                <w:szCs w:val="21"/>
                <w:highlight w:val="none"/>
                <w:lang w:val="en-US" w:eastAsia="zh-CN"/>
              </w:rPr>
              <w:t>5</w:t>
            </w:r>
            <w:r>
              <w:rPr>
                <w:rFonts w:hint="eastAsia" w:ascii="宋体" w:hAnsi="宋体" w:eastAsia="宋体" w:cs="Times New Roman"/>
                <w:bCs/>
                <w:color w:val="auto"/>
                <w:kern w:val="0"/>
                <w:szCs w:val="21"/>
                <w:highlight w:val="none"/>
              </w:rPr>
              <w:t>分；列入省公管办或省住建厅发布的黑名单扣</w:t>
            </w:r>
            <w:r>
              <w:rPr>
                <w:rFonts w:hint="eastAsia" w:ascii="宋体" w:hAnsi="宋体" w:cs="Times New Roman"/>
                <w:bCs/>
                <w:color w:val="auto"/>
                <w:kern w:val="0"/>
                <w:szCs w:val="21"/>
                <w:highlight w:val="none"/>
                <w:lang w:val="en-US" w:eastAsia="zh-CN"/>
              </w:rPr>
              <w:t>5</w:t>
            </w:r>
            <w:r>
              <w:rPr>
                <w:rFonts w:hint="eastAsia" w:ascii="宋体" w:hAnsi="宋体" w:eastAsia="宋体" w:cs="Times New Roman"/>
                <w:bCs/>
                <w:color w:val="auto"/>
                <w:kern w:val="0"/>
                <w:szCs w:val="21"/>
                <w:highlight w:val="none"/>
              </w:rPr>
              <w:t>分；扣完为止。</w:t>
            </w:r>
          </w:p>
          <w:p w14:paraId="703EFB9C">
            <w:pPr>
              <w:spacing w:line="276" w:lineRule="auto"/>
              <w:rPr>
                <w:rFonts w:hint="default" w:ascii="Times New Roman" w:hAnsi="Times New Roman" w:eastAsia="宋体" w:cs="Times New Roman"/>
                <w:color w:val="auto"/>
                <w:highlight w:val="none"/>
                <w:lang w:val="en-US" w:eastAsia="zh-CN"/>
              </w:rPr>
            </w:pPr>
            <w:r>
              <w:rPr>
                <w:rFonts w:hint="eastAsia" w:ascii="宋体" w:hAnsi="宋体" w:eastAsia="宋体" w:cs="Times New Roman"/>
                <w:b/>
                <w:color w:val="auto"/>
                <w:kern w:val="0"/>
                <w:szCs w:val="21"/>
                <w:highlight w:val="none"/>
              </w:rPr>
              <w:t>注：无不良行为记录的供应商，提交无不良行为记录承诺函即可。一旦发现有弄虚作假，取消投标资格或成交资格。</w:t>
            </w:r>
          </w:p>
        </w:tc>
      </w:tr>
      <w:tr w14:paraId="580C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After w:val="1"/>
          <w:wAfter w:w="9" w:type="pct"/>
          <w:trHeight w:val="448" w:hRule="atLeast"/>
        </w:trPr>
        <w:tc>
          <w:tcPr>
            <w:tcW w:w="1593" w:type="pct"/>
            <w:gridSpan w:val="3"/>
            <w:shd w:val="clear" w:color="auto" w:fill="auto"/>
            <w:vAlign w:val="center"/>
          </w:tcPr>
          <w:p w14:paraId="68FAC240">
            <w:pPr>
              <w:snapToGrid w:val="0"/>
              <w:spacing w:line="288" w:lineRule="auto"/>
              <w:jc w:val="center"/>
              <w:rPr>
                <w:rFonts w:ascii="宋体" w:hAnsi="宋体" w:cs="宋体"/>
                <w:color w:val="auto"/>
                <w:szCs w:val="21"/>
                <w:highlight w:val="none"/>
              </w:rPr>
            </w:pPr>
            <w:r>
              <w:rPr>
                <w:rFonts w:hint="eastAsia" w:ascii="宋体" w:hAnsi="宋体" w:cs="宋体"/>
                <w:color w:val="auto"/>
                <w:szCs w:val="21"/>
                <w:highlight w:val="none"/>
              </w:rPr>
              <w:t>合计</w:t>
            </w:r>
          </w:p>
        </w:tc>
        <w:tc>
          <w:tcPr>
            <w:tcW w:w="357" w:type="pct"/>
            <w:shd w:val="clear" w:color="auto" w:fill="auto"/>
            <w:vAlign w:val="center"/>
          </w:tcPr>
          <w:p w14:paraId="4E40CC1A">
            <w:pPr>
              <w:snapToGrid w:val="0"/>
              <w:spacing w:line="288" w:lineRule="auto"/>
              <w:jc w:val="center"/>
              <w:rPr>
                <w:rFonts w:ascii="宋体" w:hAnsi="宋体" w:cs="宋体"/>
                <w:color w:val="auto"/>
                <w:szCs w:val="21"/>
                <w:highlight w:val="none"/>
              </w:rPr>
            </w:pPr>
            <w:r>
              <w:rPr>
                <w:rFonts w:ascii="宋体" w:hAnsi="宋体" w:cs="宋体"/>
                <w:color w:val="auto"/>
                <w:szCs w:val="21"/>
                <w:highlight w:val="none"/>
              </w:rPr>
              <w:t>100</w:t>
            </w:r>
          </w:p>
        </w:tc>
        <w:tc>
          <w:tcPr>
            <w:tcW w:w="3039" w:type="pct"/>
            <w:shd w:val="clear" w:color="auto" w:fill="auto"/>
            <w:vAlign w:val="center"/>
          </w:tcPr>
          <w:p w14:paraId="05FBC8C2">
            <w:pPr>
              <w:snapToGrid w:val="0"/>
              <w:spacing w:line="288" w:lineRule="auto"/>
              <w:rPr>
                <w:rFonts w:ascii="宋体" w:hAnsi="宋体" w:cs="宋体"/>
                <w:color w:val="auto"/>
                <w:szCs w:val="21"/>
                <w:highlight w:val="none"/>
              </w:rPr>
            </w:pPr>
          </w:p>
        </w:tc>
      </w:tr>
    </w:tbl>
    <w:p w14:paraId="6B38679B">
      <w:pPr>
        <w:numPr>
          <w:ilvl w:val="0"/>
          <w:numId w:val="0"/>
        </w:numPr>
        <w:snapToGrid w:val="0"/>
        <w:spacing w:line="288" w:lineRule="auto"/>
        <w:rPr>
          <w:rFonts w:ascii="宋体" w:hAnsi="宋体"/>
          <w:color w:val="auto"/>
          <w:sz w:val="28"/>
          <w:szCs w:val="28"/>
          <w:highlight w:val="none"/>
        </w:rPr>
      </w:pPr>
      <w:r>
        <w:rPr>
          <w:rFonts w:hint="eastAsia" w:ascii="宋体" w:hAnsi="宋体" w:cs="Times New Roman"/>
          <w:color w:val="auto"/>
          <w:highlight w:val="none"/>
          <w:lang w:val="en-US" w:eastAsia="zh-CN"/>
        </w:rPr>
        <w:t>备注：</w:t>
      </w:r>
      <w:r>
        <w:rPr>
          <w:rFonts w:hint="eastAsia" w:ascii="宋体" w:hAnsi="宋体" w:cs="Times New Roman"/>
          <w:color w:val="auto"/>
          <w:highlight w:val="none"/>
          <w:lang w:eastAsia="zh-CN"/>
        </w:rPr>
        <w:t>供应商</w:t>
      </w:r>
      <w:r>
        <w:rPr>
          <w:rFonts w:hint="eastAsia" w:ascii="宋体" w:hAnsi="宋体" w:eastAsia="宋体" w:cs="Times New Roman"/>
          <w:color w:val="auto"/>
          <w:highlight w:val="none"/>
          <w:lang w:eastAsia="zh-CN"/>
        </w:rPr>
        <w:t>或拟派</w:t>
      </w:r>
      <w:r>
        <w:rPr>
          <w:rFonts w:hint="eastAsia" w:ascii="宋体" w:hAnsi="宋体" w:cs="Times New Roman"/>
          <w:color w:val="auto"/>
          <w:highlight w:val="none"/>
          <w:lang w:val="en-US" w:eastAsia="zh-CN"/>
        </w:rPr>
        <w:t>项目负责人</w:t>
      </w:r>
      <w:r>
        <w:rPr>
          <w:rFonts w:hint="eastAsia" w:ascii="宋体" w:hAnsi="宋体" w:eastAsia="宋体" w:cs="Times New Roman"/>
          <w:color w:val="auto"/>
          <w:highlight w:val="none"/>
          <w:lang w:eastAsia="zh-CN"/>
        </w:rPr>
        <w:t>不良行为记录扣分有效期为180天，自湖南省住房和城乡建设厅公布之日起至投交</w:t>
      </w:r>
      <w:r>
        <w:rPr>
          <w:rFonts w:hint="eastAsia" w:ascii="宋体" w:hAnsi="宋体" w:cs="Times New Roman"/>
          <w:color w:val="auto"/>
          <w:highlight w:val="none"/>
          <w:lang w:eastAsia="zh-CN"/>
        </w:rPr>
        <w:t>响应文件</w:t>
      </w:r>
      <w:r>
        <w:rPr>
          <w:rFonts w:hint="eastAsia" w:ascii="宋体" w:hAnsi="宋体" w:eastAsia="宋体" w:cs="Times New Roman"/>
          <w:color w:val="auto"/>
          <w:highlight w:val="none"/>
          <w:lang w:eastAsia="zh-CN"/>
        </w:rPr>
        <w:t>截止之日止。列入省公管办或省住建厅发布的黑名单扣分有效期为365天，自湖南省公管办或湖南省住房和城乡建设厅公布之日起至提交</w:t>
      </w:r>
      <w:r>
        <w:rPr>
          <w:rFonts w:hint="eastAsia" w:ascii="宋体" w:hAnsi="宋体" w:cs="Times New Roman"/>
          <w:color w:val="auto"/>
          <w:highlight w:val="none"/>
          <w:lang w:eastAsia="zh-CN"/>
        </w:rPr>
        <w:t>响应文件</w:t>
      </w:r>
      <w:r>
        <w:rPr>
          <w:rFonts w:hint="eastAsia" w:ascii="宋体" w:hAnsi="宋体" w:eastAsia="宋体" w:cs="Times New Roman"/>
          <w:color w:val="auto"/>
          <w:highlight w:val="none"/>
          <w:lang w:eastAsia="zh-CN"/>
        </w:rPr>
        <w:t>截止之日止。由</w:t>
      </w:r>
      <w:r>
        <w:rPr>
          <w:rFonts w:hint="eastAsia" w:ascii="宋体" w:hAnsi="宋体" w:cs="Times New Roman"/>
          <w:color w:val="auto"/>
          <w:highlight w:val="none"/>
          <w:lang w:eastAsia="zh-CN"/>
        </w:rPr>
        <w:t>供应商</w:t>
      </w:r>
      <w:r>
        <w:rPr>
          <w:rFonts w:hint="eastAsia" w:ascii="宋体" w:hAnsi="宋体" w:eastAsia="宋体" w:cs="Times New Roman"/>
          <w:color w:val="auto"/>
          <w:highlight w:val="none"/>
          <w:lang w:eastAsia="zh-CN"/>
        </w:rPr>
        <w:t>提供相关查询截图，否则不计分。</w:t>
      </w:r>
      <w:r>
        <w:rPr>
          <w:rFonts w:hint="eastAsia" w:ascii="宋体" w:hAnsi="宋体" w:eastAsia="宋体" w:cs="Times New Roman"/>
          <w:color w:val="auto"/>
          <w:highlight w:val="none"/>
          <w:lang w:eastAsia="zh-CN"/>
        </w:rPr>
        <w:br w:type="page"/>
      </w:r>
      <w:r>
        <w:rPr>
          <w:rFonts w:hint="eastAsia" w:ascii="宋体" w:hAnsi="宋体"/>
          <w:b/>
          <w:bCs/>
          <w:color w:val="auto"/>
          <w:sz w:val="24"/>
          <w:highlight w:val="none"/>
        </w:rPr>
        <w:t>磋商须知正文</w:t>
      </w:r>
    </w:p>
    <w:p w14:paraId="24F48B73">
      <w:pPr>
        <w:adjustRightInd w:val="0"/>
        <w:snapToGrid w:val="0"/>
        <w:spacing w:line="520" w:lineRule="exact"/>
        <w:rPr>
          <w:rFonts w:ascii="宋体" w:hAnsi="宋体"/>
          <w:color w:val="auto"/>
          <w:sz w:val="24"/>
          <w:highlight w:val="none"/>
        </w:rPr>
      </w:pPr>
      <w:r>
        <w:rPr>
          <w:rFonts w:hint="eastAsia" w:ascii="宋体" w:hAnsi="宋体"/>
          <w:color w:val="auto"/>
          <w:sz w:val="24"/>
          <w:highlight w:val="none"/>
        </w:rPr>
        <w:t>一、说明</w:t>
      </w:r>
    </w:p>
    <w:p w14:paraId="3CDC947C">
      <w:pPr>
        <w:adjustRightInd w:val="0"/>
        <w:snapToGrid w:val="0"/>
        <w:spacing w:line="520" w:lineRule="exact"/>
        <w:rPr>
          <w:rFonts w:ascii="宋体" w:hAnsi="宋体"/>
          <w:b/>
          <w:bCs/>
          <w:color w:val="auto"/>
          <w:szCs w:val="21"/>
          <w:highlight w:val="none"/>
        </w:rPr>
      </w:pPr>
      <w:r>
        <w:rPr>
          <w:rFonts w:ascii="宋体" w:hAnsi="宋体"/>
          <w:b/>
          <w:bCs/>
          <w:color w:val="auto"/>
          <w:szCs w:val="21"/>
          <w:highlight w:val="none"/>
        </w:rPr>
        <w:t>1.</w:t>
      </w:r>
      <w:r>
        <w:rPr>
          <w:rFonts w:hint="eastAsia" w:ascii="宋体" w:hAnsi="宋体"/>
          <w:b/>
          <w:bCs/>
          <w:color w:val="auto"/>
          <w:szCs w:val="21"/>
          <w:highlight w:val="none"/>
        </w:rPr>
        <w:t>适用范围</w:t>
      </w:r>
    </w:p>
    <w:p w14:paraId="1D55386C">
      <w:pPr>
        <w:adjustRightInd w:val="0"/>
        <w:snapToGrid w:val="0"/>
        <w:spacing w:line="520" w:lineRule="exact"/>
        <w:ind w:firstLine="420" w:firstLineChars="200"/>
        <w:rPr>
          <w:rFonts w:ascii="宋体" w:hAnsi="宋体"/>
          <w:color w:val="auto"/>
          <w:szCs w:val="21"/>
          <w:highlight w:val="none"/>
        </w:rPr>
      </w:pPr>
      <w:r>
        <w:rPr>
          <w:rFonts w:ascii="宋体" w:hAnsi="宋体"/>
          <w:color w:val="auto"/>
          <w:szCs w:val="21"/>
          <w:highlight w:val="none"/>
        </w:rPr>
        <w:t xml:space="preserve">1.1 </w:t>
      </w:r>
      <w:r>
        <w:rPr>
          <w:rFonts w:hint="eastAsia" w:ascii="宋体" w:hAnsi="宋体"/>
          <w:color w:val="auto"/>
          <w:szCs w:val="21"/>
          <w:highlight w:val="none"/>
        </w:rPr>
        <w:t>本磋商文件仅适用于磋商须知前附表</w:t>
      </w:r>
      <w:r>
        <w:rPr>
          <w:rFonts w:ascii="宋体" w:hAnsi="宋体"/>
          <w:color w:val="auto"/>
          <w:szCs w:val="21"/>
          <w:highlight w:val="none"/>
        </w:rPr>
        <w:t>(</w:t>
      </w:r>
      <w:r>
        <w:rPr>
          <w:rFonts w:hint="eastAsia" w:ascii="宋体" w:hAnsi="宋体"/>
          <w:color w:val="auto"/>
          <w:szCs w:val="21"/>
          <w:highlight w:val="none"/>
        </w:rPr>
        <w:t>以下简称</w:t>
      </w:r>
      <w:r>
        <w:rPr>
          <w:rFonts w:hint="eastAsia" w:ascii="宋体" w:hAnsi="宋体"/>
          <w:b/>
          <w:color w:val="auto"/>
          <w:szCs w:val="21"/>
          <w:highlight w:val="none"/>
        </w:rPr>
        <w:t>磋商须知前附表</w:t>
      </w:r>
      <w:r>
        <w:rPr>
          <w:rFonts w:ascii="宋体" w:hAnsi="宋体"/>
          <w:b/>
          <w:color w:val="auto"/>
          <w:szCs w:val="21"/>
          <w:highlight w:val="none"/>
        </w:rPr>
        <w:t>)</w:t>
      </w:r>
      <w:r>
        <w:rPr>
          <w:rFonts w:hint="eastAsia" w:ascii="宋体" w:hAnsi="宋体"/>
          <w:color w:val="auto"/>
          <w:szCs w:val="21"/>
          <w:highlight w:val="none"/>
        </w:rPr>
        <w:t>中所叙述的采购项目。</w:t>
      </w:r>
    </w:p>
    <w:p w14:paraId="25ECA8C5">
      <w:pPr>
        <w:adjustRightInd w:val="0"/>
        <w:snapToGrid w:val="0"/>
        <w:spacing w:line="520" w:lineRule="exact"/>
        <w:rPr>
          <w:rFonts w:ascii="宋体" w:hAnsi="宋体"/>
          <w:b/>
          <w:bCs/>
          <w:color w:val="auto"/>
          <w:szCs w:val="21"/>
          <w:highlight w:val="none"/>
        </w:rPr>
      </w:pPr>
      <w:r>
        <w:rPr>
          <w:rFonts w:ascii="宋体" w:hAnsi="宋体"/>
          <w:b/>
          <w:bCs/>
          <w:color w:val="auto"/>
          <w:szCs w:val="21"/>
          <w:highlight w:val="none"/>
        </w:rPr>
        <w:t>2.</w:t>
      </w:r>
      <w:r>
        <w:rPr>
          <w:rFonts w:hint="eastAsia" w:ascii="宋体" w:hAnsi="宋体"/>
          <w:b/>
          <w:bCs/>
          <w:color w:val="auto"/>
          <w:szCs w:val="21"/>
          <w:highlight w:val="none"/>
        </w:rPr>
        <w:t>定义</w:t>
      </w:r>
    </w:p>
    <w:p w14:paraId="2351B777">
      <w:pPr>
        <w:adjustRightInd w:val="0"/>
        <w:snapToGrid w:val="0"/>
        <w:spacing w:line="520" w:lineRule="exact"/>
        <w:ind w:firstLine="420" w:firstLineChars="200"/>
        <w:rPr>
          <w:rFonts w:ascii="宋体" w:hAnsi="宋体"/>
          <w:b/>
          <w:color w:val="auto"/>
          <w:szCs w:val="21"/>
          <w:highlight w:val="none"/>
        </w:rPr>
      </w:pPr>
      <w:r>
        <w:rPr>
          <w:rFonts w:ascii="宋体" w:hAnsi="宋体"/>
          <w:color w:val="auto"/>
          <w:szCs w:val="21"/>
          <w:highlight w:val="none"/>
        </w:rPr>
        <w:t xml:space="preserve">2.1 </w:t>
      </w:r>
      <w:r>
        <w:rPr>
          <w:rFonts w:hint="eastAsia" w:ascii="宋体" w:hAnsi="宋体"/>
          <w:color w:val="auto"/>
          <w:szCs w:val="21"/>
          <w:highlight w:val="none"/>
        </w:rPr>
        <w:t>本次采购的采购人名称、地址、电话、联系人见</w:t>
      </w:r>
      <w:r>
        <w:rPr>
          <w:rFonts w:hint="eastAsia" w:ascii="宋体" w:hAnsi="宋体"/>
          <w:b/>
          <w:color w:val="auto"/>
          <w:szCs w:val="21"/>
          <w:highlight w:val="none"/>
        </w:rPr>
        <w:t>磋商须知前附表</w:t>
      </w:r>
      <w:r>
        <w:rPr>
          <w:rFonts w:hint="eastAsia" w:ascii="宋体" w:hAnsi="宋体"/>
          <w:color w:val="auto"/>
          <w:szCs w:val="21"/>
          <w:highlight w:val="none"/>
        </w:rPr>
        <w:t>。</w:t>
      </w:r>
    </w:p>
    <w:p w14:paraId="74309CED">
      <w:pPr>
        <w:adjustRightInd w:val="0"/>
        <w:snapToGrid w:val="0"/>
        <w:spacing w:line="520" w:lineRule="exact"/>
        <w:ind w:firstLine="420" w:firstLineChars="200"/>
        <w:rPr>
          <w:rFonts w:ascii="宋体" w:hAnsi="宋体"/>
          <w:b/>
          <w:color w:val="auto"/>
          <w:szCs w:val="21"/>
          <w:highlight w:val="none"/>
        </w:rPr>
      </w:pPr>
      <w:r>
        <w:rPr>
          <w:rFonts w:ascii="宋体" w:hAnsi="宋体"/>
          <w:color w:val="auto"/>
          <w:szCs w:val="21"/>
          <w:highlight w:val="none"/>
        </w:rPr>
        <w:t xml:space="preserve">2.2 </w:t>
      </w:r>
      <w:r>
        <w:rPr>
          <w:rFonts w:hint="eastAsia" w:ascii="宋体" w:hAnsi="宋体"/>
          <w:color w:val="auto"/>
          <w:szCs w:val="21"/>
          <w:highlight w:val="none"/>
        </w:rPr>
        <w:t>“采购代理机构”是指接受采购人委托，代理采购项目的集中采购机构和其他采购代理机构。本次采购的采购代理机构名称、地址、电话、联系人见</w:t>
      </w:r>
      <w:r>
        <w:rPr>
          <w:rFonts w:hint="eastAsia" w:ascii="宋体" w:hAnsi="宋体"/>
          <w:b/>
          <w:color w:val="auto"/>
          <w:szCs w:val="21"/>
          <w:highlight w:val="none"/>
        </w:rPr>
        <w:t>磋商须知前附表。</w:t>
      </w:r>
    </w:p>
    <w:p w14:paraId="4DE83D84">
      <w:pPr>
        <w:adjustRightInd w:val="0"/>
        <w:snapToGrid w:val="0"/>
        <w:spacing w:line="520" w:lineRule="exact"/>
        <w:ind w:firstLine="420" w:firstLineChars="200"/>
        <w:rPr>
          <w:rFonts w:ascii="宋体" w:hAnsi="宋体" w:cs="宋体"/>
          <w:bCs/>
          <w:color w:val="auto"/>
          <w:kern w:val="36"/>
          <w:szCs w:val="21"/>
          <w:highlight w:val="none"/>
        </w:rPr>
      </w:pPr>
      <w:r>
        <w:rPr>
          <w:rFonts w:ascii="宋体" w:hAnsi="宋体"/>
          <w:color w:val="auto"/>
          <w:szCs w:val="21"/>
          <w:highlight w:val="none"/>
        </w:rPr>
        <w:t xml:space="preserve">2.3 </w:t>
      </w:r>
      <w:r>
        <w:rPr>
          <w:rFonts w:hint="eastAsia" w:ascii="宋体" w:hAnsi="宋体"/>
          <w:color w:val="auto"/>
          <w:szCs w:val="21"/>
          <w:highlight w:val="none"/>
        </w:rPr>
        <w:t>“供应商”是指响应磋商文件要求、参加竞争性磋商采购的法人、其他组织。本次采购项目</w:t>
      </w:r>
      <w:r>
        <w:rPr>
          <w:rFonts w:hint="eastAsia" w:ascii="宋体" w:hAnsi="宋体" w:cs="宋体"/>
          <w:color w:val="auto"/>
          <w:kern w:val="0"/>
          <w:szCs w:val="21"/>
          <w:highlight w:val="none"/>
        </w:rPr>
        <w:t>邀请</w:t>
      </w:r>
      <w:r>
        <w:rPr>
          <w:rFonts w:hint="eastAsia" w:ascii="宋体" w:hAnsi="宋体"/>
          <w:color w:val="auto"/>
          <w:szCs w:val="21"/>
          <w:highlight w:val="none"/>
        </w:rPr>
        <w:t>的</w:t>
      </w:r>
      <w:r>
        <w:rPr>
          <w:rFonts w:hint="eastAsia" w:ascii="宋体" w:hAnsi="宋体" w:cs="宋体"/>
          <w:color w:val="auto"/>
          <w:kern w:val="0"/>
          <w:szCs w:val="21"/>
          <w:highlight w:val="none"/>
        </w:rPr>
        <w:t>供应商通过</w:t>
      </w:r>
      <w:r>
        <w:rPr>
          <w:rFonts w:hint="eastAsia" w:ascii="宋体" w:hAnsi="宋体"/>
          <w:b/>
          <w:color w:val="auto"/>
          <w:szCs w:val="21"/>
          <w:highlight w:val="none"/>
        </w:rPr>
        <w:t>磋商须知前附表</w:t>
      </w:r>
      <w:r>
        <w:rPr>
          <w:rFonts w:hint="eastAsia" w:ascii="宋体" w:hAnsi="宋体"/>
          <w:color w:val="auto"/>
          <w:szCs w:val="21"/>
          <w:highlight w:val="none"/>
        </w:rPr>
        <w:t>所述方式</w:t>
      </w:r>
      <w:r>
        <w:rPr>
          <w:rFonts w:hint="eastAsia" w:ascii="宋体" w:hAnsi="宋体" w:cs="宋体"/>
          <w:color w:val="auto"/>
          <w:kern w:val="0"/>
          <w:szCs w:val="21"/>
          <w:highlight w:val="none"/>
        </w:rPr>
        <w:t>，邀请符合资格条件的供应商提交响应文件（含资格证明资料），参与竞争性磋商采购活动。</w:t>
      </w:r>
    </w:p>
    <w:p w14:paraId="6929C52C">
      <w:pPr>
        <w:adjustRightInd w:val="0"/>
        <w:snapToGrid w:val="0"/>
        <w:spacing w:line="520" w:lineRule="exact"/>
        <w:ind w:firstLine="420" w:firstLineChars="200"/>
        <w:rPr>
          <w:rFonts w:ascii="宋体" w:hAnsi="宋体" w:cs="宋体"/>
          <w:color w:val="auto"/>
          <w:kern w:val="0"/>
          <w:szCs w:val="21"/>
          <w:highlight w:val="none"/>
        </w:rPr>
      </w:pPr>
      <w:r>
        <w:rPr>
          <w:rFonts w:ascii="宋体" w:hAnsi="宋体"/>
          <w:color w:val="auto"/>
          <w:szCs w:val="21"/>
          <w:highlight w:val="none"/>
        </w:rPr>
        <w:t xml:space="preserve">2.4 </w:t>
      </w:r>
      <w:r>
        <w:rPr>
          <w:rFonts w:hint="eastAsia" w:ascii="宋体" w:hAnsi="宋体"/>
          <w:color w:val="auto"/>
          <w:szCs w:val="21"/>
          <w:highlight w:val="none"/>
        </w:rPr>
        <w:t>“磋商小组”是指</w:t>
      </w:r>
      <w:r>
        <w:rPr>
          <w:rFonts w:hint="eastAsia" w:ascii="宋体" w:hAnsi="宋体" w:cs="宋体"/>
          <w:color w:val="auto"/>
          <w:kern w:val="0"/>
          <w:szCs w:val="21"/>
          <w:highlight w:val="none"/>
        </w:rPr>
        <w:t>依据财政部</w:t>
      </w:r>
      <w:r>
        <w:rPr>
          <w:rFonts w:hint="eastAsia" w:ascii="宋体" w:hAnsi="宋体" w:cs="宋体"/>
          <w:bCs/>
          <w:color w:val="auto"/>
          <w:kern w:val="36"/>
          <w:szCs w:val="21"/>
          <w:highlight w:val="none"/>
        </w:rPr>
        <w:t>《政府采购竞争性磋商采购方式管理暂行办法》有关规定组建，依法依规</w:t>
      </w:r>
      <w:r>
        <w:rPr>
          <w:rFonts w:hint="eastAsia" w:ascii="宋体" w:hAnsi="宋体" w:cs="宋体"/>
          <w:color w:val="auto"/>
          <w:kern w:val="0"/>
          <w:szCs w:val="21"/>
          <w:highlight w:val="none"/>
        </w:rPr>
        <w:t>履行其职责和义务的机构。</w:t>
      </w:r>
    </w:p>
    <w:p w14:paraId="3197589C">
      <w:pPr>
        <w:adjustRightInd w:val="0"/>
        <w:snapToGrid w:val="0"/>
        <w:spacing w:line="520" w:lineRule="exact"/>
        <w:ind w:firstLine="420" w:firstLineChars="200"/>
        <w:rPr>
          <w:rFonts w:hint="eastAsia" w:ascii="宋体" w:hAnsi="宋体"/>
          <w:color w:val="auto"/>
          <w:szCs w:val="21"/>
          <w:highlight w:val="none"/>
        </w:rPr>
      </w:pPr>
      <w:r>
        <w:rPr>
          <w:rFonts w:ascii="宋体" w:hAnsi="宋体"/>
          <w:color w:val="auto"/>
          <w:szCs w:val="21"/>
          <w:highlight w:val="none"/>
        </w:rPr>
        <w:t xml:space="preserve">2.5 </w:t>
      </w:r>
      <w:r>
        <w:rPr>
          <w:rFonts w:hint="eastAsia" w:ascii="宋体" w:hAnsi="宋体"/>
          <w:color w:val="auto"/>
          <w:szCs w:val="21"/>
          <w:highlight w:val="none"/>
        </w:rPr>
        <w:t>“货物”是指各种形态和种类的物品，包括原资料、燃料、设备、产品等。</w:t>
      </w:r>
    </w:p>
    <w:p w14:paraId="55688C10">
      <w:pPr>
        <w:adjustRightInd w:val="0"/>
        <w:snapToGrid w:val="0"/>
        <w:spacing w:line="520" w:lineRule="exact"/>
        <w:ind w:firstLine="420" w:firstLineChars="200"/>
        <w:rPr>
          <w:rFonts w:ascii="宋体" w:hAnsi="宋体"/>
          <w:color w:val="auto"/>
          <w:szCs w:val="21"/>
          <w:highlight w:val="none"/>
        </w:rPr>
      </w:pPr>
      <w:r>
        <w:rPr>
          <w:rFonts w:ascii="宋体" w:hAnsi="宋体"/>
          <w:color w:val="auto"/>
          <w:szCs w:val="21"/>
          <w:highlight w:val="none"/>
        </w:rPr>
        <w:t xml:space="preserve">2.6 </w:t>
      </w:r>
      <w:r>
        <w:rPr>
          <w:rFonts w:hint="eastAsia" w:ascii="宋体" w:hAnsi="宋体"/>
          <w:color w:val="auto"/>
          <w:szCs w:val="21"/>
          <w:highlight w:val="none"/>
        </w:rPr>
        <w:t>“工程”是指建设工程，包括建筑物和构筑物的新建、改建、扩建、装修、拆除、修缮等。</w:t>
      </w:r>
    </w:p>
    <w:p w14:paraId="3D73F852">
      <w:pPr>
        <w:adjustRightInd w:val="0"/>
        <w:snapToGrid w:val="0"/>
        <w:spacing w:line="520" w:lineRule="exact"/>
        <w:ind w:firstLine="420" w:firstLineChars="200"/>
        <w:rPr>
          <w:rFonts w:ascii="宋体" w:hAnsi="宋体"/>
          <w:color w:val="auto"/>
          <w:szCs w:val="21"/>
          <w:highlight w:val="none"/>
        </w:rPr>
      </w:pPr>
      <w:r>
        <w:rPr>
          <w:rFonts w:ascii="宋体" w:hAnsi="宋体"/>
          <w:color w:val="auto"/>
          <w:szCs w:val="21"/>
          <w:highlight w:val="none"/>
        </w:rPr>
        <w:t xml:space="preserve">2.7 </w:t>
      </w:r>
      <w:r>
        <w:rPr>
          <w:rFonts w:hint="eastAsia" w:ascii="宋体" w:hAnsi="宋体"/>
          <w:color w:val="auto"/>
          <w:szCs w:val="21"/>
          <w:highlight w:val="none"/>
        </w:rPr>
        <w:t>“服务”是指除货物和工程以外的其他采购对象。</w:t>
      </w:r>
    </w:p>
    <w:p w14:paraId="26BADB2A">
      <w:pPr>
        <w:adjustRightInd w:val="0"/>
        <w:snapToGrid w:val="0"/>
        <w:spacing w:line="520" w:lineRule="exact"/>
        <w:ind w:firstLine="420" w:firstLineChars="200"/>
        <w:rPr>
          <w:rFonts w:ascii="宋体" w:hAnsi="宋体"/>
          <w:color w:val="auto"/>
          <w:szCs w:val="21"/>
          <w:highlight w:val="none"/>
        </w:rPr>
      </w:pPr>
      <w:r>
        <w:rPr>
          <w:rFonts w:ascii="宋体" w:hAnsi="宋体" w:cs="宋体"/>
          <w:color w:val="auto"/>
          <w:kern w:val="0"/>
          <w:szCs w:val="21"/>
          <w:highlight w:val="none"/>
        </w:rPr>
        <w:t>2.8</w:t>
      </w:r>
      <w:r>
        <w:rPr>
          <w:rFonts w:ascii="宋体" w:hAnsi="宋体"/>
          <w:color w:val="auto"/>
          <w:szCs w:val="21"/>
          <w:highlight w:val="none"/>
        </w:rPr>
        <w:t xml:space="preserve"> </w:t>
      </w:r>
      <w:r>
        <w:rPr>
          <w:rFonts w:hint="eastAsia" w:ascii="宋体" w:hAnsi="宋体"/>
          <w:color w:val="auto"/>
          <w:szCs w:val="21"/>
          <w:highlight w:val="none"/>
        </w:rPr>
        <w:t>“节能产品”或者“环保产品”是指财政部发布的《节能产品政府采购清单》或者《环境标志产品政府采购清单》的产品。</w:t>
      </w:r>
    </w:p>
    <w:p w14:paraId="5CBA24B3">
      <w:pPr>
        <w:adjustRightInd w:val="0"/>
        <w:snapToGrid w:val="0"/>
        <w:spacing w:line="520" w:lineRule="exact"/>
        <w:ind w:firstLine="420" w:firstLineChars="200"/>
        <w:rPr>
          <w:rFonts w:ascii="宋体" w:hAnsi="宋体" w:cs="宋体"/>
          <w:color w:val="auto"/>
          <w:kern w:val="0"/>
          <w:szCs w:val="21"/>
          <w:highlight w:val="none"/>
        </w:rPr>
      </w:pPr>
      <w:r>
        <w:rPr>
          <w:rFonts w:ascii="宋体" w:hAnsi="宋体"/>
          <w:color w:val="auto"/>
          <w:szCs w:val="21"/>
          <w:highlight w:val="none"/>
        </w:rPr>
        <w:t>2.9</w:t>
      </w:r>
      <w:r>
        <w:rPr>
          <w:rFonts w:ascii="宋体" w:hAnsi="宋体" w:cs="宋体"/>
          <w:color w:val="auto"/>
          <w:kern w:val="0"/>
          <w:szCs w:val="21"/>
          <w:highlight w:val="none"/>
        </w:rPr>
        <w:t xml:space="preserve"> </w:t>
      </w:r>
      <w:r>
        <w:rPr>
          <w:rFonts w:hint="eastAsia" w:cs="宋体" w:asciiTheme="minorEastAsia" w:hAnsiTheme="minorEastAsia" w:eastAsiaTheme="minorEastAsia"/>
          <w:color w:val="auto"/>
          <w:kern w:val="0"/>
          <w:szCs w:val="21"/>
          <w:highlight w:val="none"/>
        </w:rPr>
        <w:t>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color w:val="auto"/>
          <w:szCs w:val="21"/>
          <w:highlight w:val="none"/>
        </w:rPr>
        <w:t>【投标须知前附表】</w:t>
      </w:r>
      <w:r>
        <w:rPr>
          <w:rFonts w:hint="eastAsia" w:cs="宋体" w:asciiTheme="minorEastAsia" w:hAnsiTheme="minorEastAsia" w:eastAsiaTheme="minorEastAsia"/>
          <w:color w:val="auto"/>
          <w:kern w:val="0"/>
          <w:szCs w:val="21"/>
          <w:highlight w:val="none"/>
        </w:rPr>
        <w:t>另有规定外，采购项目拒绝进口产品参加投标。本款规定同意购买进口产品的，不得限制满足招标文件要求的国内产品参与投标竞争。</w:t>
      </w:r>
    </w:p>
    <w:p w14:paraId="0D1094FC">
      <w:pPr>
        <w:adjustRightInd w:val="0"/>
        <w:snapToGrid w:val="0"/>
        <w:spacing w:line="520" w:lineRule="exact"/>
        <w:rPr>
          <w:rFonts w:ascii="宋体" w:hAnsi="宋体"/>
          <w:b/>
          <w:bCs/>
          <w:color w:val="auto"/>
          <w:szCs w:val="21"/>
          <w:highlight w:val="none"/>
        </w:rPr>
      </w:pPr>
      <w:r>
        <w:rPr>
          <w:rFonts w:ascii="宋体" w:hAnsi="宋体"/>
          <w:b/>
          <w:bCs/>
          <w:color w:val="auto"/>
          <w:szCs w:val="21"/>
          <w:highlight w:val="none"/>
        </w:rPr>
        <w:t>3.</w:t>
      </w:r>
      <w:r>
        <w:rPr>
          <w:rFonts w:hint="eastAsia" w:ascii="宋体" w:hAnsi="宋体"/>
          <w:b/>
          <w:bCs/>
          <w:color w:val="auto"/>
          <w:szCs w:val="21"/>
          <w:highlight w:val="none"/>
        </w:rPr>
        <w:t>供应商的资格要求</w:t>
      </w:r>
    </w:p>
    <w:p w14:paraId="1DA5E267">
      <w:pPr>
        <w:adjustRightInd w:val="0"/>
        <w:snapToGrid w:val="0"/>
        <w:spacing w:line="520" w:lineRule="exact"/>
        <w:ind w:firstLine="420" w:firstLineChars="200"/>
        <w:rPr>
          <w:rFonts w:ascii="宋体" w:hAnsi="宋体"/>
          <w:color w:val="auto"/>
          <w:szCs w:val="21"/>
          <w:highlight w:val="none"/>
        </w:rPr>
      </w:pPr>
      <w:r>
        <w:rPr>
          <w:rFonts w:ascii="宋体" w:hAnsi="宋体"/>
          <w:color w:val="auto"/>
          <w:szCs w:val="21"/>
          <w:highlight w:val="none"/>
        </w:rPr>
        <w:t xml:space="preserve">3.1 </w:t>
      </w:r>
      <w:r>
        <w:rPr>
          <w:rFonts w:hint="eastAsia" w:ascii="宋体" w:hAnsi="宋体"/>
          <w:color w:val="auto"/>
          <w:szCs w:val="21"/>
          <w:highlight w:val="none"/>
        </w:rPr>
        <w:t>供应商应当符合</w:t>
      </w:r>
      <w:r>
        <w:rPr>
          <w:rFonts w:hint="eastAsia" w:ascii="宋体" w:hAnsi="宋体"/>
          <w:b/>
          <w:color w:val="auto"/>
          <w:szCs w:val="21"/>
          <w:highlight w:val="none"/>
        </w:rPr>
        <w:t>磋商须知前附表</w:t>
      </w:r>
      <w:r>
        <w:rPr>
          <w:rFonts w:hint="eastAsia" w:ascii="宋体" w:hAnsi="宋体"/>
          <w:color w:val="auto"/>
          <w:szCs w:val="21"/>
          <w:highlight w:val="none"/>
        </w:rPr>
        <w:t>中规定的资格条件要求。</w:t>
      </w:r>
    </w:p>
    <w:p w14:paraId="558E5448">
      <w:pPr>
        <w:adjustRightInd w:val="0"/>
        <w:snapToGrid w:val="0"/>
        <w:spacing w:line="520" w:lineRule="exact"/>
        <w:ind w:firstLine="420" w:firstLineChars="200"/>
        <w:jc w:val="left"/>
        <w:rPr>
          <w:rFonts w:ascii="宋体" w:hAnsi="宋体"/>
          <w:color w:val="auto"/>
          <w:szCs w:val="21"/>
          <w:highlight w:val="none"/>
        </w:rPr>
      </w:pPr>
      <w:r>
        <w:rPr>
          <w:rFonts w:ascii="宋体" w:hAnsi="宋体"/>
          <w:color w:val="auto"/>
          <w:szCs w:val="21"/>
          <w:highlight w:val="none"/>
        </w:rPr>
        <w:t>3.2</w:t>
      </w:r>
      <w:r>
        <w:rPr>
          <w:rFonts w:hint="eastAsia" w:ascii="宋体" w:hAnsi="宋体"/>
          <w:color w:val="auto"/>
          <w:szCs w:val="21"/>
          <w:highlight w:val="none"/>
        </w:rPr>
        <w:t>供应商</w:t>
      </w:r>
      <w:r>
        <w:rPr>
          <w:rFonts w:hint="eastAsia" w:ascii="宋体" w:hAnsi="宋体"/>
          <w:color w:val="auto"/>
          <w:highlight w:val="none"/>
        </w:rPr>
        <w:t>为联合体形式的</w:t>
      </w:r>
      <w:r>
        <w:rPr>
          <w:rFonts w:hint="eastAsia" w:ascii="宋体" w:hAnsi="宋体"/>
          <w:color w:val="auto"/>
          <w:szCs w:val="21"/>
          <w:highlight w:val="none"/>
        </w:rPr>
        <w:t>，除应满足本章第</w:t>
      </w:r>
      <w:r>
        <w:rPr>
          <w:rFonts w:ascii="宋体" w:hAnsi="宋体"/>
          <w:color w:val="auto"/>
          <w:szCs w:val="21"/>
          <w:highlight w:val="none"/>
        </w:rPr>
        <w:t>3.1</w:t>
      </w:r>
      <w:r>
        <w:rPr>
          <w:rFonts w:hint="eastAsia" w:ascii="宋体" w:hAnsi="宋体"/>
          <w:color w:val="auto"/>
          <w:szCs w:val="21"/>
          <w:highlight w:val="none"/>
        </w:rPr>
        <w:t>款资格条件要求及第</w:t>
      </w:r>
      <w:r>
        <w:rPr>
          <w:rFonts w:ascii="宋体" w:hAnsi="宋体"/>
          <w:color w:val="auto"/>
          <w:szCs w:val="21"/>
          <w:highlight w:val="none"/>
        </w:rPr>
        <w:t>3.3</w:t>
      </w:r>
      <w:r>
        <w:rPr>
          <w:rFonts w:hint="eastAsia" w:ascii="宋体" w:hAnsi="宋体"/>
          <w:color w:val="auto"/>
          <w:szCs w:val="21"/>
          <w:highlight w:val="none"/>
        </w:rPr>
        <w:t>款规定外，还应遵守以下规定：</w:t>
      </w:r>
      <w:r>
        <w:rPr>
          <w:rFonts w:ascii="宋体" w:hAnsi="宋体"/>
          <w:color w:val="auto"/>
          <w:szCs w:val="21"/>
          <w:highlight w:val="none"/>
        </w:rPr>
        <w:t xml:space="preserve"> </w:t>
      </w:r>
    </w:p>
    <w:p w14:paraId="3B622387">
      <w:pPr>
        <w:adjustRightInd w:val="0"/>
        <w:snapToGrid w:val="0"/>
        <w:spacing w:line="520" w:lineRule="exact"/>
        <w:ind w:firstLine="420" w:firstLineChars="200"/>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w:t>
      </w:r>
      <w:r>
        <w:rPr>
          <w:rFonts w:ascii="宋体" w:hAnsi="宋体" w:cs="宋体"/>
          <w:color w:val="auto"/>
          <w:kern w:val="0"/>
          <w:szCs w:val="21"/>
          <w:highlight w:val="none"/>
          <w:lang w:val="zh-CN"/>
        </w:rPr>
        <w:t>1</w:t>
      </w:r>
      <w:r>
        <w:rPr>
          <w:rFonts w:hint="eastAsia" w:ascii="宋体" w:hAnsi="宋体" w:cs="宋体"/>
          <w:color w:val="auto"/>
          <w:kern w:val="0"/>
          <w:szCs w:val="21"/>
          <w:highlight w:val="none"/>
          <w:lang w:val="zh-CN"/>
        </w:rPr>
        <w:t>）联合体各方应按磋商文件提供的格式签订联合体协议书，明确联合体牵头人和各方权利义务</w:t>
      </w:r>
      <w:r>
        <w:rPr>
          <w:rFonts w:ascii="宋体" w:hAnsi="宋体" w:cs="宋体"/>
          <w:color w:val="auto"/>
          <w:kern w:val="0"/>
          <w:szCs w:val="21"/>
          <w:highlight w:val="none"/>
          <w:lang w:val="zh-CN"/>
        </w:rPr>
        <w:t>(</w:t>
      </w:r>
      <w:r>
        <w:rPr>
          <w:rFonts w:hint="eastAsia" w:ascii="宋体" w:hAnsi="宋体" w:cs="宋体"/>
          <w:color w:val="auto"/>
          <w:kern w:val="0"/>
          <w:szCs w:val="21"/>
          <w:highlight w:val="none"/>
          <w:lang w:val="zh-CN"/>
        </w:rPr>
        <w:t>含承担工作及工作量比例</w:t>
      </w:r>
      <w:r>
        <w:rPr>
          <w:rFonts w:ascii="宋体" w:hAnsi="宋体" w:cs="宋体"/>
          <w:color w:val="auto"/>
          <w:kern w:val="0"/>
          <w:szCs w:val="21"/>
          <w:highlight w:val="none"/>
          <w:lang w:val="zh-CN"/>
        </w:rPr>
        <w:t>)</w:t>
      </w:r>
      <w:r>
        <w:rPr>
          <w:rFonts w:hint="eastAsia" w:ascii="宋体" w:hAnsi="宋体" w:cs="宋体"/>
          <w:color w:val="auto"/>
          <w:kern w:val="0"/>
          <w:szCs w:val="21"/>
          <w:highlight w:val="none"/>
          <w:lang w:val="zh-CN"/>
        </w:rPr>
        <w:t>；</w:t>
      </w:r>
    </w:p>
    <w:p w14:paraId="34ED5549">
      <w:pPr>
        <w:adjustRightInd w:val="0"/>
        <w:snapToGrid w:val="0"/>
        <w:spacing w:line="520" w:lineRule="exact"/>
        <w:ind w:firstLine="420" w:firstLineChars="200"/>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w:t>
      </w:r>
      <w:r>
        <w:rPr>
          <w:rFonts w:ascii="宋体" w:hAnsi="宋体" w:cs="宋体"/>
          <w:color w:val="auto"/>
          <w:kern w:val="0"/>
          <w:szCs w:val="21"/>
          <w:highlight w:val="none"/>
          <w:lang w:val="zh-CN"/>
        </w:rPr>
        <w:t>2</w:t>
      </w:r>
      <w:r>
        <w:rPr>
          <w:rFonts w:hint="eastAsia" w:ascii="宋体" w:hAnsi="宋体" w:cs="宋体"/>
          <w:color w:val="auto"/>
          <w:kern w:val="0"/>
          <w:szCs w:val="21"/>
          <w:highlight w:val="none"/>
          <w:lang w:val="zh-CN"/>
        </w:rPr>
        <w:t>）联合体中有同类资质的供应商按照联合体分工承担相同工作的，应当按照资质等级较低的供应商确定资质等级；</w:t>
      </w:r>
    </w:p>
    <w:p w14:paraId="6A5252A1">
      <w:pPr>
        <w:adjustRightInd w:val="0"/>
        <w:snapToGrid w:val="0"/>
        <w:spacing w:line="520" w:lineRule="exact"/>
        <w:ind w:firstLine="420" w:firstLineChars="200"/>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w:t>
      </w:r>
      <w:r>
        <w:rPr>
          <w:rFonts w:ascii="宋体" w:hAnsi="宋体" w:cs="宋体"/>
          <w:color w:val="auto"/>
          <w:kern w:val="0"/>
          <w:szCs w:val="21"/>
          <w:highlight w:val="none"/>
          <w:lang w:val="zh-CN"/>
        </w:rPr>
        <w:t>3</w:t>
      </w:r>
      <w:r>
        <w:rPr>
          <w:rFonts w:hint="eastAsia" w:ascii="宋体" w:hAnsi="宋体" w:cs="宋体"/>
          <w:color w:val="auto"/>
          <w:kern w:val="0"/>
          <w:szCs w:val="21"/>
          <w:highlight w:val="none"/>
          <w:lang w:val="zh-CN"/>
        </w:rPr>
        <w:t>）以联合体形式参加政府采购活动的，联合体各方不得再单独参加或者与其他供应商另外组成联合体参加同一合同项下的政府采购活动。</w:t>
      </w:r>
    </w:p>
    <w:p w14:paraId="320A8901">
      <w:pPr>
        <w:adjustRightInd w:val="0"/>
        <w:snapToGrid w:val="0"/>
        <w:spacing w:line="520" w:lineRule="exact"/>
        <w:ind w:firstLine="420" w:firstLineChars="200"/>
        <w:rPr>
          <w:rFonts w:ascii="宋体" w:hAnsi="宋体"/>
          <w:color w:val="auto"/>
          <w:szCs w:val="21"/>
          <w:highlight w:val="none"/>
        </w:rPr>
      </w:pPr>
      <w:r>
        <w:rPr>
          <w:rFonts w:ascii="宋体" w:hAnsi="宋体"/>
          <w:color w:val="auto"/>
          <w:szCs w:val="21"/>
          <w:highlight w:val="none"/>
        </w:rPr>
        <w:t xml:space="preserve">3.3 </w:t>
      </w:r>
      <w:r>
        <w:rPr>
          <w:rFonts w:hint="eastAsia" w:ascii="宋体" w:hAnsi="宋体"/>
          <w:color w:val="auto"/>
          <w:szCs w:val="21"/>
          <w:highlight w:val="none"/>
        </w:rPr>
        <w:t>供应商不得存在下列情形之一：</w:t>
      </w:r>
    </w:p>
    <w:p w14:paraId="4E1300D2">
      <w:pPr>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l</w:t>
      </w:r>
      <w:r>
        <w:rPr>
          <w:rFonts w:hint="eastAsia" w:ascii="宋体" w:hAnsi="宋体"/>
          <w:color w:val="auto"/>
          <w:szCs w:val="21"/>
          <w:highlight w:val="none"/>
        </w:rPr>
        <w:t>）与采购人、采购代理机构存在</w:t>
      </w:r>
      <w:r>
        <w:rPr>
          <w:rFonts w:hint="eastAsia" w:ascii="宋体" w:hAnsi="宋体"/>
          <w:bCs/>
          <w:color w:val="auto"/>
          <w:szCs w:val="21"/>
          <w:highlight w:val="none"/>
        </w:rPr>
        <w:t>隶属关系或者其他利害关系</w:t>
      </w:r>
      <w:r>
        <w:rPr>
          <w:rFonts w:hint="eastAsia" w:ascii="宋体" w:hAnsi="宋体"/>
          <w:color w:val="auto"/>
          <w:szCs w:val="21"/>
          <w:highlight w:val="none"/>
        </w:rPr>
        <w:t>。</w:t>
      </w:r>
    </w:p>
    <w:p w14:paraId="0F173069">
      <w:pPr>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）与其他供应商的法定代表人（或者负责人）为同一人，或者与其他供应商存在控股、关联关系。</w:t>
      </w:r>
    </w:p>
    <w:p w14:paraId="50420E2A">
      <w:pPr>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w:t>
      </w:r>
      <w:r>
        <w:rPr>
          <w:rFonts w:hint="eastAsia" w:ascii="宋体" w:hAnsi="宋体"/>
          <w:bCs/>
          <w:color w:val="auto"/>
          <w:szCs w:val="21"/>
          <w:highlight w:val="none"/>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color w:val="auto"/>
          <w:szCs w:val="21"/>
          <w:highlight w:val="none"/>
        </w:rPr>
        <w:t>财政部门认定的其他重大违法记录。</w:t>
      </w:r>
    </w:p>
    <w:p w14:paraId="6440D508">
      <w:pPr>
        <w:adjustRightInd w:val="0"/>
        <w:snapToGrid w:val="0"/>
        <w:spacing w:line="520" w:lineRule="exact"/>
        <w:rPr>
          <w:rFonts w:ascii="宋体" w:hAnsi="宋体"/>
          <w:b/>
          <w:bCs/>
          <w:color w:val="auto"/>
          <w:szCs w:val="21"/>
          <w:highlight w:val="none"/>
        </w:rPr>
      </w:pPr>
      <w:r>
        <w:rPr>
          <w:rFonts w:ascii="宋体" w:hAnsi="宋体"/>
          <w:b/>
          <w:bCs/>
          <w:color w:val="auto"/>
          <w:szCs w:val="21"/>
          <w:highlight w:val="none"/>
        </w:rPr>
        <w:t>4.</w:t>
      </w:r>
      <w:r>
        <w:rPr>
          <w:rFonts w:hint="eastAsia" w:ascii="宋体" w:hAnsi="宋体"/>
          <w:b/>
          <w:bCs/>
          <w:color w:val="auto"/>
          <w:szCs w:val="21"/>
          <w:highlight w:val="none"/>
        </w:rPr>
        <w:t>参与磋商的费用</w:t>
      </w:r>
      <w:r>
        <w:rPr>
          <w:rFonts w:ascii="宋体" w:hAnsi="宋体"/>
          <w:b/>
          <w:bCs/>
          <w:color w:val="auto"/>
          <w:szCs w:val="21"/>
          <w:highlight w:val="none"/>
        </w:rPr>
        <w:t xml:space="preserve"> </w:t>
      </w:r>
    </w:p>
    <w:p w14:paraId="13298206">
      <w:pPr>
        <w:adjustRightInd w:val="0"/>
        <w:snapToGrid w:val="0"/>
        <w:spacing w:line="520" w:lineRule="exact"/>
        <w:ind w:firstLine="420" w:firstLineChars="200"/>
        <w:rPr>
          <w:rFonts w:ascii="宋体" w:hAnsi="宋体"/>
          <w:color w:val="auto"/>
          <w:szCs w:val="21"/>
          <w:highlight w:val="none"/>
        </w:rPr>
      </w:pPr>
      <w:r>
        <w:rPr>
          <w:rFonts w:ascii="宋体" w:hAnsi="宋体"/>
          <w:color w:val="auto"/>
          <w:szCs w:val="21"/>
          <w:highlight w:val="none"/>
        </w:rPr>
        <w:t xml:space="preserve">4.1 </w:t>
      </w:r>
      <w:r>
        <w:rPr>
          <w:rFonts w:hint="eastAsia" w:ascii="宋体" w:hAnsi="宋体"/>
          <w:color w:val="auto"/>
          <w:szCs w:val="21"/>
          <w:highlight w:val="none"/>
        </w:rPr>
        <w:t>无论磋商的结果如何，供应商应自行承担所有与竞争性磋商采购活动有关的全部费用。</w:t>
      </w:r>
    </w:p>
    <w:p w14:paraId="080D8F2D">
      <w:pPr>
        <w:adjustRightInd w:val="0"/>
        <w:snapToGrid w:val="0"/>
        <w:spacing w:line="520" w:lineRule="exact"/>
        <w:rPr>
          <w:rFonts w:ascii="宋体" w:hAnsi="宋体"/>
          <w:b/>
          <w:bCs/>
          <w:color w:val="auto"/>
          <w:highlight w:val="none"/>
        </w:rPr>
      </w:pPr>
      <w:r>
        <w:rPr>
          <w:rFonts w:ascii="宋体" w:hAnsi="宋体"/>
          <w:b/>
          <w:color w:val="auto"/>
          <w:highlight w:val="none"/>
        </w:rPr>
        <w:t>5</w:t>
      </w:r>
      <w:r>
        <w:rPr>
          <w:rFonts w:hint="eastAsia" w:ascii="宋体" w:hAnsi="宋体"/>
          <w:b/>
          <w:color w:val="auto"/>
          <w:highlight w:val="none"/>
        </w:rPr>
        <w:t>．</w:t>
      </w:r>
      <w:r>
        <w:rPr>
          <w:rFonts w:hint="eastAsia" w:ascii="宋体" w:hAnsi="宋体"/>
          <w:b/>
          <w:bCs/>
          <w:color w:val="auto"/>
          <w:highlight w:val="none"/>
        </w:rPr>
        <w:t>授权委托</w:t>
      </w:r>
    </w:p>
    <w:p w14:paraId="1260D66B">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5.1</w:t>
      </w:r>
      <w:r>
        <w:rPr>
          <w:rFonts w:hint="eastAsia" w:ascii="宋体" w:hAnsi="宋体"/>
          <w:color w:val="auto"/>
          <w:highlight w:val="none"/>
        </w:rPr>
        <w:t>供应商代表为供应商法定代表人的，应持有法定代表人身份证明。供应商代表不是供应商法定代表人的，应持有法定代表人授权书，并附法定代表人身份证明。</w:t>
      </w:r>
    </w:p>
    <w:p w14:paraId="080D7148">
      <w:pPr>
        <w:adjustRightInd w:val="0"/>
        <w:snapToGrid w:val="0"/>
        <w:spacing w:line="520" w:lineRule="exact"/>
        <w:rPr>
          <w:rFonts w:ascii="宋体" w:hAnsi="宋体"/>
          <w:b/>
          <w:color w:val="auto"/>
          <w:highlight w:val="none"/>
        </w:rPr>
      </w:pPr>
      <w:r>
        <w:rPr>
          <w:rFonts w:ascii="宋体" w:hAnsi="宋体"/>
          <w:b/>
          <w:color w:val="auto"/>
          <w:highlight w:val="none"/>
        </w:rPr>
        <w:t>6</w:t>
      </w:r>
      <w:r>
        <w:rPr>
          <w:rFonts w:hint="eastAsia" w:ascii="宋体" w:hAnsi="宋体"/>
          <w:b/>
          <w:color w:val="auto"/>
          <w:highlight w:val="none"/>
        </w:rPr>
        <w:t>．联合体形式</w:t>
      </w:r>
    </w:p>
    <w:p w14:paraId="2F385961">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6.1</w:t>
      </w:r>
      <w:r>
        <w:rPr>
          <w:rFonts w:hint="eastAsia" w:ascii="宋体" w:hAnsi="宋体"/>
          <w:color w:val="auto"/>
          <w:highlight w:val="none"/>
        </w:rPr>
        <w:t>除</w:t>
      </w:r>
      <w:r>
        <w:rPr>
          <w:rFonts w:hint="eastAsia" w:ascii="宋体" w:hAnsi="宋体"/>
          <w:b/>
          <w:color w:val="auto"/>
          <w:highlight w:val="none"/>
        </w:rPr>
        <w:t>磋商须知前附表</w:t>
      </w:r>
      <w:r>
        <w:rPr>
          <w:rFonts w:hint="eastAsia" w:ascii="宋体" w:hAnsi="宋体"/>
          <w:color w:val="auto"/>
          <w:highlight w:val="none"/>
        </w:rPr>
        <w:t>中另有规定，本次谈判采购不接受为联合体形式的供应商。</w:t>
      </w:r>
    </w:p>
    <w:p w14:paraId="5FD4EC79">
      <w:pPr>
        <w:adjustRightInd w:val="0"/>
        <w:snapToGrid w:val="0"/>
        <w:spacing w:line="520" w:lineRule="exact"/>
        <w:ind w:firstLine="420" w:firstLineChars="200"/>
        <w:jc w:val="left"/>
        <w:rPr>
          <w:rFonts w:ascii="宋体" w:hAnsi="宋体"/>
          <w:color w:val="auto"/>
          <w:szCs w:val="21"/>
          <w:highlight w:val="none"/>
        </w:rPr>
      </w:pPr>
      <w:r>
        <w:rPr>
          <w:rFonts w:ascii="宋体" w:hAnsi="宋体"/>
          <w:color w:val="auto"/>
          <w:szCs w:val="21"/>
          <w:highlight w:val="none"/>
        </w:rPr>
        <w:t>6.2</w:t>
      </w:r>
      <w:r>
        <w:rPr>
          <w:rFonts w:hint="eastAsia" w:ascii="宋体" w:hAnsi="宋体"/>
          <w:color w:val="auto"/>
          <w:szCs w:val="21"/>
          <w:highlight w:val="none"/>
        </w:rPr>
        <w:t>供应商</w:t>
      </w:r>
      <w:r>
        <w:rPr>
          <w:rFonts w:hint="eastAsia" w:ascii="宋体" w:hAnsi="宋体"/>
          <w:color w:val="auto"/>
          <w:highlight w:val="none"/>
        </w:rPr>
        <w:t>为联合体形式的</w:t>
      </w:r>
      <w:r>
        <w:rPr>
          <w:rFonts w:hint="eastAsia" w:ascii="宋体" w:hAnsi="宋体"/>
          <w:color w:val="auto"/>
          <w:szCs w:val="21"/>
          <w:highlight w:val="none"/>
        </w:rPr>
        <w:t>，除应符合本章第</w:t>
      </w:r>
      <w:r>
        <w:rPr>
          <w:rFonts w:ascii="宋体" w:hAnsi="宋体"/>
          <w:color w:val="auto"/>
          <w:szCs w:val="21"/>
          <w:highlight w:val="none"/>
        </w:rPr>
        <w:t>3</w:t>
      </w:r>
      <w:r>
        <w:rPr>
          <w:rFonts w:hint="eastAsia" w:ascii="宋体" w:hAnsi="宋体"/>
          <w:color w:val="auto"/>
          <w:szCs w:val="21"/>
          <w:highlight w:val="none"/>
        </w:rPr>
        <w:t>条规定外，还应遵守以下规定：</w:t>
      </w:r>
    </w:p>
    <w:p w14:paraId="4AAEA90B">
      <w:pPr>
        <w:adjustRightInd w:val="0"/>
        <w:snapToGrid w:val="0"/>
        <w:spacing w:line="52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l</w:t>
      </w:r>
      <w:r>
        <w:rPr>
          <w:rFonts w:hint="eastAsia" w:ascii="宋体" w:hAnsi="宋体"/>
          <w:color w:val="auto"/>
          <w:szCs w:val="21"/>
          <w:highlight w:val="none"/>
        </w:rPr>
        <w:t>）联合体各方必须签订联合体协议书，明确联合体牵头人和各方的义务、工作、合同工作量比例；</w:t>
      </w:r>
    </w:p>
    <w:p w14:paraId="1CA3C32D">
      <w:pPr>
        <w:adjustRightInd w:val="0"/>
        <w:snapToGrid w:val="0"/>
        <w:spacing w:line="52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）联合体各方均应当符合本章第</w:t>
      </w:r>
      <w:r>
        <w:rPr>
          <w:rFonts w:ascii="宋体" w:hAnsi="宋体"/>
          <w:color w:val="auto"/>
          <w:szCs w:val="21"/>
          <w:highlight w:val="none"/>
        </w:rPr>
        <w:t>3.1</w:t>
      </w:r>
      <w:r>
        <w:rPr>
          <w:rFonts w:hint="eastAsia" w:ascii="宋体" w:hAnsi="宋体" w:cs="宋体"/>
          <w:color w:val="auto"/>
          <w:kern w:val="0"/>
          <w:szCs w:val="21"/>
          <w:highlight w:val="none"/>
          <w:lang w:val="zh-CN"/>
        </w:rPr>
        <w:t>款</w:t>
      </w:r>
      <w:r>
        <w:rPr>
          <w:rFonts w:hint="eastAsia" w:ascii="宋体" w:hAnsi="宋体"/>
          <w:color w:val="auto"/>
          <w:szCs w:val="21"/>
          <w:highlight w:val="none"/>
        </w:rPr>
        <w:t>规定的供应商基本资格条件；</w:t>
      </w:r>
    </w:p>
    <w:p w14:paraId="35BD4C86">
      <w:pPr>
        <w:adjustRightInd w:val="0"/>
        <w:snapToGrid w:val="0"/>
        <w:spacing w:line="52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w:t>
      </w:r>
      <w:r>
        <w:rPr>
          <w:rFonts w:hint="eastAsia" w:ascii="宋体" w:hAnsi="宋体"/>
          <w:color w:val="auto"/>
          <w:highlight w:val="none"/>
        </w:rPr>
        <w:t>除</w:t>
      </w:r>
      <w:r>
        <w:rPr>
          <w:rFonts w:hint="eastAsia" w:ascii="宋体" w:hAnsi="宋体"/>
          <w:b/>
          <w:color w:val="auto"/>
          <w:highlight w:val="none"/>
        </w:rPr>
        <w:t>磋商须知前附表</w:t>
      </w:r>
      <w:r>
        <w:rPr>
          <w:rFonts w:hint="eastAsia" w:ascii="宋体" w:hAnsi="宋体"/>
          <w:color w:val="auto"/>
          <w:highlight w:val="none"/>
        </w:rPr>
        <w:t>中另有规定，</w:t>
      </w:r>
      <w:r>
        <w:rPr>
          <w:rFonts w:hint="eastAsia" w:ascii="宋体" w:hAnsi="宋体"/>
          <w:color w:val="auto"/>
          <w:szCs w:val="21"/>
          <w:highlight w:val="none"/>
        </w:rPr>
        <w:t>联合体各方中至少有一方应当符合本章第</w:t>
      </w:r>
      <w:r>
        <w:rPr>
          <w:rFonts w:ascii="宋体" w:hAnsi="宋体"/>
          <w:color w:val="auto"/>
          <w:szCs w:val="21"/>
          <w:highlight w:val="none"/>
        </w:rPr>
        <w:t>3.1</w:t>
      </w:r>
      <w:r>
        <w:rPr>
          <w:rFonts w:hint="eastAsia" w:ascii="宋体" w:hAnsi="宋体" w:cs="宋体"/>
          <w:color w:val="auto"/>
          <w:kern w:val="0"/>
          <w:szCs w:val="21"/>
          <w:highlight w:val="none"/>
          <w:lang w:val="zh-CN"/>
        </w:rPr>
        <w:t>款</w:t>
      </w:r>
      <w:r>
        <w:rPr>
          <w:rFonts w:hint="eastAsia" w:ascii="宋体" w:hAnsi="宋体"/>
          <w:color w:val="auto"/>
          <w:szCs w:val="21"/>
          <w:highlight w:val="none"/>
        </w:rPr>
        <w:t>规定的供应商特定资格条件；</w:t>
      </w:r>
    </w:p>
    <w:p w14:paraId="03394EDF">
      <w:pPr>
        <w:adjustRightInd w:val="0"/>
        <w:snapToGrid w:val="0"/>
        <w:spacing w:line="520" w:lineRule="exact"/>
        <w:ind w:firstLine="420" w:firstLineChars="200"/>
        <w:jc w:val="left"/>
        <w:rPr>
          <w:rFonts w:ascii="宋体" w:hAnsi="宋体" w:cs="宋体"/>
          <w:color w:val="auto"/>
          <w:kern w:val="0"/>
          <w:szCs w:val="21"/>
          <w:highlight w:val="none"/>
          <w:lang w:val="zh-CN"/>
        </w:rPr>
      </w:pPr>
      <w:r>
        <w:rPr>
          <w:rFonts w:hint="eastAsia" w:ascii="宋体" w:hAnsi="宋体"/>
          <w:color w:val="auto"/>
          <w:szCs w:val="21"/>
          <w:highlight w:val="none"/>
        </w:rPr>
        <w:t>（</w:t>
      </w:r>
      <w:r>
        <w:rPr>
          <w:rFonts w:ascii="宋体" w:hAnsi="宋体"/>
          <w:color w:val="auto"/>
          <w:szCs w:val="21"/>
          <w:highlight w:val="none"/>
        </w:rPr>
        <w:t>4</w:t>
      </w:r>
      <w:r>
        <w:rPr>
          <w:rFonts w:hint="eastAsia" w:ascii="宋体" w:hAnsi="宋体"/>
          <w:color w:val="auto"/>
          <w:szCs w:val="21"/>
          <w:highlight w:val="none"/>
        </w:rPr>
        <w:t>）</w:t>
      </w:r>
      <w:r>
        <w:rPr>
          <w:rFonts w:hint="eastAsia" w:ascii="宋体" w:hAnsi="宋体" w:cs="宋体"/>
          <w:color w:val="auto"/>
          <w:kern w:val="0"/>
          <w:szCs w:val="21"/>
          <w:highlight w:val="none"/>
          <w:lang w:val="zh-CN"/>
        </w:rPr>
        <w:t>联合体各方不得再单独或与其他供应商组成新的联合体参加同一项目的采购活动。</w:t>
      </w:r>
    </w:p>
    <w:p w14:paraId="522C75E7">
      <w:pPr>
        <w:adjustRightInd w:val="0"/>
        <w:snapToGrid w:val="0"/>
        <w:spacing w:line="520" w:lineRule="exact"/>
        <w:rPr>
          <w:rFonts w:ascii="宋体" w:hAnsi="宋体"/>
          <w:b/>
          <w:color w:val="auto"/>
          <w:szCs w:val="21"/>
          <w:highlight w:val="none"/>
        </w:rPr>
      </w:pPr>
      <w:r>
        <w:rPr>
          <w:rFonts w:ascii="宋体" w:hAnsi="宋体"/>
          <w:b/>
          <w:color w:val="auto"/>
          <w:szCs w:val="21"/>
          <w:highlight w:val="none"/>
        </w:rPr>
        <w:t>7.</w:t>
      </w:r>
      <w:r>
        <w:rPr>
          <w:rFonts w:hint="eastAsia" w:ascii="宋体" w:hAnsi="宋体"/>
          <w:b/>
          <w:color w:val="auto"/>
          <w:szCs w:val="21"/>
          <w:highlight w:val="none"/>
        </w:rPr>
        <w:t>现场勘察</w:t>
      </w:r>
    </w:p>
    <w:p w14:paraId="433D0BB2">
      <w:pPr>
        <w:adjustRightInd w:val="0"/>
        <w:snapToGrid w:val="0"/>
        <w:spacing w:line="520" w:lineRule="exact"/>
        <w:ind w:firstLine="420" w:firstLineChars="200"/>
        <w:rPr>
          <w:rFonts w:ascii="宋体" w:hAnsi="宋体"/>
          <w:color w:val="auto"/>
          <w:szCs w:val="21"/>
          <w:highlight w:val="none"/>
        </w:rPr>
      </w:pPr>
      <w:r>
        <w:rPr>
          <w:rFonts w:ascii="宋体" w:hAnsi="宋体"/>
          <w:color w:val="auto"/>
          <w:szCs w:val="21"/>
          <w:highlight w:val="none"/>
        </w:rPr>
        <w:t>7.1</w:t>
      </w:r>
      <w:r>
        <w:rPr>
          <w:rFonts w:hint="eastAsia" w:ascii="宋体" w:hAnsi="宋体"/>
          <w:color w:val="auto"/>
          <w:szCs w:val="21"/>
          <w:highlight w:val="none"/>
        </w:rPr>
        <w:t>供应商应按</w:t>
      </w:r>
      <w:r>
        <w:rPr>
          <w:rFonts w:hint="eastAsia" w:ascii="宋体" w:hAnsi="宋体"/>
          <w:b/>
          <w:color w:val="auto"/>
          <w:highlight w:val="none"/>
        </w:rPr>
        <w:t>磋商须知前附表</w:t>
      </w:r>
      <w:r>
        <w:rPr>
          <w:rFonts w:hint="eastAsia" w:ascii="宋体" w:hAnsi="宋体"/>
          <w:color w:val="auto"/>
          <w:highlight w:val="none"/>
        </w:rPr>
        <w:t>中规定</w:t>
      </w:r>
      <w:r>
        <w:rPr>
          <w:rFonts w:hint="eastAsia" w:ascii="宋体" w:hAnsi="宋体"/>
          <w:color w:val="auto"/>
          <w:szCs w:val="21"/>
          <w:highlight w:val="none"/>
        </w:rPr>
        <w:t>对采购项目现场和周围环境的现场考察。</w:t>
      </w:r>
    </w:p>
    <w:p w14:paraId="2F28ED53">
      <w:pPr>
        <w:adjustRightInd w:val="0"/>
        <w:snapToGrid w:val="0"/>
        <w:spacing w:line="520" w:lineRule="exact"/>
        <w:ind w:firstLine="420" w:firstLineChars="200"/>
        <w:rPr>
          <w:rFonts w:ascii="宋体" w:hAnsi="宋体"/>
          <w:color w:val="auto"/>
          <w:szCs w:val="21"/>
          <w:highlight w:val="none"/>
        </w:rPr>
      </w:pPr>
      <w:r>
        <w:rPr>
          <w:rFonts w:ascii="宋体" w:hAnsi="宋体"/>
          <w:color w:val="auto"/>
          <w:szCs w:val="21"/>
          <w:highlight w:val="none"/>
        </w:rPr>
        <w:t>7.2</w:t>
      </w:r>
      <w:r>
        <w:rPr>
          <w:rFonts w:hint="eastAsia" w:ascii="宋体" w:hAnsi="宋体"/>
          <w:color w:val="auto"/>
          <w:szCs w:val="21"/>
          <w:highlight w:val="none"/>
        </w:rPr>
        <w:t>勘察现场的费用由供应商自己承担，勘察期间所发生的人身伤害及财产损失由供应商自己负责。</w:t>
      </w:r>
    </w:p>
    <w:p w14:paraId="3BC59883">
      <w:pPr>
        <w:adjustRightInd w:val="0"/>
        <w:snapToGrid w:val="0"/>
        <w:spacing w:line="520" w:lineRule="exact"/>
        <w:ind w:firstLine="420" w:firstLineChars="200"/>
        <w:jc w:val="left"/>
        <w:rPr>
          <w:rFonts w:ascii="宋体" w:hAnsi="宋体"/>
          <w:b/>
          <w:color w:val="auto"/>
          <w:szCs w:val="21"/>
          <w:highlight w:val="none"/>
        </w:rPr>
      </w:pPr>
      <w:r>
        <w:rPr>
          <w:rFonts w:ascii="宋体" w:hAnsi="宋体"/>
          <w:color w:val="auto"/>
          <w:szCs w:val="21"/>
          <w:highlight w:val="none"/>
        </w:rPr>
        <w:t>7.3</w:t>
      </w:r>
      <w:r>
        <w:rPr>
          <w:rFonts w:hint="eastAsia" w:ascii="宋体" w:hAnsi="宋体"/>
          <w:color w:val="auto"/>
          <w:szCs w:val="21"/>
          <w:highlight w:val="none"/>
        </w:rPr>
        <w:t>采购人不对供应商据此而做出的推论、理解和结论负责。一旦成交，供应商不得以任何借口，提出额外补偿，或延长合同期限的要求。</w:t>
      </w:r>
    </w:p>
    <w:p w14:paraId="79D20DFF">
      <w:pPr>
        <w:adjustRightInd w:val="0"/>
        <w:snapToGrid w:val="0"/>
        <w:spacing w:line="520" w:lineRule="exact"/>
        <w:jc w:val="left"/>
        <w:rPr>
          <w:rFonts w:ascii="宋体" w:hAnsi="宋体"/>
          <w:b/>
          <w:color w:val="auto"/>
          <w:szCs w:val="21"/>
          <w:highlight w:val="none"/>
        </w:rPr>
      </w:pPr>
      <w:r>
        <w:rPr>
          <w:rFonts w:ascii="宋体" w:hAnsi="宋体"/>
          <w:b/>
          <w:color w:val="auto"/>
          <w:szCs w:val="21"/>
          <w:highlight w:val="none"/>
        </w:rPr>
        <w:t>8.</w:t>
      </w:r>
      <w:r>
        <w:rPr>
          <w:rFonts w:hint="eastAsia" w:ascii="宋体" w:hAnsi="宋体"/>
          <w:b/>
          <w:color w:val="auto"/>
          <w:szCs w:val="21"/>
          <w:highlight w:val="none"/>
        </w:rPr>
        <w:t>采购进口产品</w:t>
      </w:r>
    </w:p>
    <w:p w14:paraId="2E60F0C3">
      <w:pPr>
        <w:adjustRightInd w:val="0"/>
        <w:snapToGrid w:val="0"/>
        <w:spacing w:line="520" w:lineRule="exact"/>
        <w:ind w:firstLine="420" w:firstLineChars="200"/>
        <w:jc w:val="left"/>
        <w:rPr>
          <w:rFonts w:ascii="宋体" w:hAnsi="宋体" w:cs="宋体"/>
          <w:color w:val="auto"/>
          <w:kern w:val="0"/>
          <w:szCs w:val="21"/>
          <w:highlight w:val="none"/>
        </w:rPr>
      </w:pPr>
      <w:r>
        <w:rPr>
          <w:rFonts w:ascii="宋体" w:hAnsi="宋体"/>
          <w:color w:val="auto"/>
          <w:szCs w:val="21"/>
          <w:highlight w:val="none"/>
        </w:rPr>
        <w:t>8.1</w:t>
      </w:r>
      <w:r>
        <w:rPr>
          <w:rFonts w:hint="eastAsia" w:ascii="宋体" w:hAnsi="宋体"/>
          <w:color w:val="auto"/>
          <w:szCs w:val="21"/>
          <w:highlight w:val="none"/>
        </w:rPr>
        <w:t>除</w:t>
      </w:r>
      <w:r>
        <w:rPr>
          <w:rFonts w:hint="eastAsia" w:ascii="宋体" w:hAnsi="宋体"/>
          <w:b/>
          <w:color w:val="auto"/>
          <w:szCs w:val="21"/>
          <w:highlight w:val="none"/>
        </w:rPr>
        <w:t>磋商文件前附表</w:t>
      </w:r>
      <w:r>
        <w:rPr>
          <w:rFonts w:hint="eastAsia" w:ascii="宋体" w:hAnsi="宋体"/>
          <w:color w:val="auto"/>
          <w:szCs w:val="21"/>
          <w:highlight w:val="none"/>
        </w:rPr>
        <w:t>另有规定外，本项目</w:t>
      </w:r>
      <w:r>
        <w:rPr>
          <w:rFonts w:hint="eastAsia" w:ascii="宋体" w:hAnsi="宋体" w:cs="宋体"/>
          <w:color w:val="auto"/>
          <w:kern w:val="0"/>
          <w:szCs w:val="21"/>
          <w:highlight w:val="none"/>
        </w:rPr>
        <w:t>拒绝进口产品参加</w:t>
      </w:r>
      <w:r>
        <w:rPr>
          <w:rFonts w:hint="eastAsia" w:ascii="宋体" w:hAnsi="宋体"/>
          <w:color w:val="auto"/>
          <w:szCs w:val="21"/>
          <w:highlight w:val="none"/>
        </w:rPr>
        <w:t>竞争性磋商采购活动</w:t>
      </w:r>
      <w:r>
        <w:rPr>
          <w:rFonts w:hint="eastAsia" w:ascii="宋体" w:hAnsi="宋体" w:cs="宋体"/>
          <w:color w:val="auto"/>
          <w:kern w:val="0"/>
          <w:szCs w:val="21"/>
          <w:highlight w:val="none"/>
        </w:rPr>
        <w:t>。</w:t>
      </w:r>
    </w:p>
    <w:p w14:paraId="03A51A8F">
      <w:pPr>
        <w:adjustRightInd w:val="0"/>
        <w:snapToGrid w:val="0"/>
        <w:spacing w:line="520" w:lineRule="exact"/>
        <w:ind w:firstLine="420" w:firstLineChars="200"/>
        <w:jc w:val="left"/>
        <w:rPr>
          <w:rFonts w:ascii="宋体" w:hAnsi="宋体" w:cs="宋体"/>
          <w:color w:val="auto"/>
          <w:kern w:val="0"/>
          <w:szCs w:val="21"/>
          <w:highlight w:val="none"/>
        </w:rPr>
      </w:pPr>
      <w:r>
        <w:rPr>
          <w:rFonts w:ascii="宋体" w:hAnsi="宋体" w:cs="宋体"/>
          <w:color w:val="auto"/>
          <w:kern w:val="0"/>
          <w:szCs w:val="21"/>
          <w:highlight w:val="none"/>
        </w:rPr>
        <w:t>8.2</w:t>
      </w:r>
      <w:r>
        <w:rPr>
          <w:rFonts w:hint="eastAsia" w:ascii="宋体" w:hAnsi="宋体"/>
          <w:color w:val="auto"/>
          <w:szCs w:val="21"/>
          <w:highlight w:val="none"/>
        </w:rPr>
        <w:t>本章第</w:t>
      </w:r>
      <w:r>
        <w:rPr>
          <w:rFonts w:ascii="宋体" w:hAnsi="宋体"/>
          <w:color w:val="auto"/>
          <w:szCs w:val="21"/>
          <w:highlight w:val="none"/>
        </w:rPr>
        <w:t>7.1</w:t>
      </w:r>
      <w:r>
        <w:rPr>
          <w:rFonts w:hint="eastAsia" w:ascii="宋体" w:hAnsi="宋体" w:cs="宋体"/>
          <w:color w:val="auto"/>
          <w:kern w:val="0"/>
          <w:szCs w:val="21"/>
          <w:highlight w:val="none"/>
          <w:lang w:val="zh-CN"/>
        </w:rPr>
        <w:t>款</w:t>
      </w:r>
      <w:r>
        <w:rPr>
          <w:rFonts w:hint="eastAsia" w:ascii="宋体" w:hAnsi="宋体"/>
          <w:color w:val="auto"/>
          <w:szCs w:val="21"/>
          <w:highlight w:val="none"/>
        </w:rPr>
        <w:t>规定</w:t>
      </w:r>
      <w:r>
        <w:rPr>
          <w:rFonts w:hint="eastAsia" w:ascii="宋体" w:hAnsi="宋体" w:cs="宋体"/>
          <w:color w:val="auto"/>
          <w:kern w:val="0"/>
          <w:szCs w:val="21"/>
          <w:highlight w:val="none"/>
        </w:rPr>
        <w:t>同意购买进口产品的，</w:t>
      </w:r>
      <w:r>
        <w:rPr>
          <w:rFonts w:hint="eastAsia" w:ascii="宋体" w:hAnsi="宋体"/>
          <w:color w:val="auto"/>
          <w:szCs w:val="21"/>
          <w:highlight w:val="none"/>
        </w:rPr>
        <w:t>本项目</w:t>
      </w:r>
      <w:r>
        <w:rPr>
          <w:rFonts w:hint="eastAsia" w:ascii="宋体" w:hAnsi="宋体" w:cs="宋体"/>
          <w:color w:val="auto"/>
          <w:kern w:val="0"/>
          <w:szCs w:val="21"/>
          <w:highlight w:val="none"/>
          <w:lang w:val="zh-CN"/>
        </w:rPr>
        <w:t>采购活动</w:t>
      </w:r>
      <w:r>
        <w:rPr>
          <w:rFonts w:hint="eastAsia" w:ascii="宋体" w:hAnsi="宋体" w:cs="宋体"/>
          <w:color w:val="auto"/>
          <w:kern w:val="0"/>
          <w:szCs w:val="21"/>
          <w:highlight w:val="none"/>
        </w:rPr>
        <w:t>不限制满足</w:t>
      </w:r>
      <w:r>
        <w:rPr>
          <w:rFonts w:hint="eastAsia" w:ascii="宋体" w:hAnsi="宋体"/>
          <w:color w:val="auto"/>
          <w:szCs w:val="21"/>
          <w:highlight w:val="none"/>
        </w:rPr>
        <w:t>磋商文件要求</w:t>
      </w:r>
      <w:r>
        <w:rPr>
          <w:rFonts w:hint="eastAsia" w:ascii="宋体" w:hAnsi="宋体" w:cs="宋体"/>
          <w:color w:val="auto"/>
          <w:kern w:val="0"/>
          <w:szCs w:val="21"/>
          <w:highlight w:val="none"/>
        </w:rPr>
        <w:t>的国内产品参与</w:t>
      </w:r>
      <w:r>
        <w:rPr>
          <w:rFonts w:hint="eastAsia" w:ascii="宋体" w:hAnsi="宋体"/>
          <w:color w:val="auto"/>
          <w:szCs w:val="21"/>
          <w:highlight w:val="none"/>
        </w:rPr>
        <w:t>竞争性磋商</w:t>
      </w:r>
      <w:r>
        <w:rPr>
          <w:rFonts w:hint="eastAsia" w:ascii="宋体" w:hAnsi="宋体" w:cs="宋体"/>
          <w:color w:val="auto"/>
          <w:kern w:val="0"/>
          <w:szCs w:val="21"/>
          <w:highlight w:val="none"/>
        </w:rPr>
        <w:t>。</w:t>
      </w:r>
    </w:p>
    <w:p w14:paraId="0184E477">
      <w:pPr>
        <w:adjustRightInd w:val="0"/>
        <w:snapToGrid w:val="0"/>
        <w:spacing w:line="520" w:lineRule="exact"/>
        <w:jc w:val="left"/>
        <w:rPr>
          <w:rFonts w:ascii="宋体" w:hAnsi="宋体"/>
          <w:b/>
          <w:color w:val="auto"/>
          <w:szCs w:val="21"/>
          <w:highlight w:val="none"/>
        </w:rPr>
      </w:pPr>
      <w:r>
        <w:rPr>
          <w:rFonts w:ascii="宋体" w:hAnsi="宋体"/>
          <w:b/>
          <w:bCs/>
          <w:color w:val="auto"/>
          <w:szCs w:val="21"/>
          <w:highlight w:val="none"/>
        </w:rPr>
        <w:t>9.</w:t>
      </w:r>
      <w:r>
        <w:rPr>
          <w:rFonts w:ascii="宋体" w:hAnsi="宋体"/>
          <w:b/>
          <w:color w:val="auto"/>
          <w:szCs w:val="21"/>
          <w:highlight w:val="none"/>
        </w:rPr>
        <w:t xml:space="preserve"> </w:t>
      </w:r>
      <w:r>
        <w:rPr>
          <w:rFonts w:hint="eastAsia" w:ascii="宋体" w:hAnsi="宋体"/>
          <w:b/>
          <w:color w:val="auto"/>
          <w:szCs w:val="21"/>
          <w:highlight w:val="none"/>
        </w:rPr>
        <w:t>政府采购政策支持</w:t>
      </w:r>
    </w:p>
    <w:p w14:paraId="13D61CA8">
      <w:pPr>
        <w:adjustRightInd w:val="0"/>
        <w:snapToGrid w:val="0"/>
        <w:spacing w:line="520" w:lineRule="exact"/>
        <w:ind w:firstLine="420" w:firstLineChars="200"/>
        <w:rPr>
          <w:rFonts w:ascii="宋体" w:hAnsi="宋体" w:cs="宋体"/>
          <w:color w:val="auto"/>
          <w:kern w:val="0"/>
          <w:szCs w:val="21"/>
          <w:highlight w:val="none"/>
        </w:rPr>
      </w:pPr>
      <w:r>
        <w:rPr>
          <w:rFonts w:ascii="宋体" w:hAnsi="宋体" w:cs="宋体"/>
          <w:color w:val="auto"/>
          <w:kern w:val="0"/>
          <w:szCs w:val="21"/>
          <w:highlight w:val="none"/>
        </w:rPr>
        <w:t>9.1</w:t>
      </w:r>
      <w:r>
        <w:rPr>
          <w:rFonts w:hint="eastAsia" w:ascii="宋体" w:hAnsi="宋体" w:cs="宋体"/>
          <w:color w:val="auto"/>
          <w:kern w:val="0"/>
          <w:szCs w:val="21"/>
          <w:highlight w:val="none"/>
        </w:rPr>
        <w:t>对列入财政部、国家发展改革委发布的《节能产品政府采购清单》且属于应当“强制采购的节能产品”，按照规定实行强制采购。实行政府采购强制采购的节能产品见</w:t>
      </w:r>
      <w:r>
        <w:rPr>
          <w:rFonts w:hint="eastAsia" w:ascii="宋体" w:hAnsi="宋体" w:cs="宋体"/>
          <w:b/>
          <w:color w:val="auto"/>
          <w:kern w:val="0"/>
          <w:szCs w:val="21"/>
          <w:highlight w:val="none"/>
        </w:rPr>
        <w:t>磋商文件前附表。</w:t>
      </w:r>
    </w:p>
    <w:p w14:paraId="7F68A7A1">
      <w:pPr>
        <w:adjustRightInd w:val="0"/>
        <w:snapToGrid w:val="0"/>
        <w:spacing w:line="520" w:lineRule="exact"/>
        <w:ind w:firstLine="420" w:firstLineChars="200"/>
        <w:rPr>
          <w:rFonts w:ascii="宋体" w:hAnsi="宋体"/>
          <w:color w:val="auto"/>
          <w:highlight w:val="none"/>
        </w:rPr>
      </w:pPr>
      <w:r>
        <w:rPr>
          <w:rFonts w:ascii="宋体" w:hAnsi="宋体" w:cs="宋体"/>
          <w:color w:val="auto"/>
          <w:highlight w:val="none"/>
        </w:rPr>
        <w:t>9.2</w:t>
      </w:r>
      <w:r>
        <w:rPr>
          <w:rFonts w:hint="eastAsia" w:ascii="宋体" w:hAnsi="宋体" w:cs="宋体"/>
          <w:color w:val="auto"/>
          <w:highlight w:val="none"/>
        </w:rPr>
        <w:t>对列入财政部、国家发展改革委发布的《节能产品政府采购清单》的“非强制采购节能产品”，财政部、环境保护部发布的《环境标志产品政府采购清单》的“环境标志产品”，以及中小企业、</w:t>
      </w:r>
      <w:r>
        <w:rPr>
          <w:rFonts w:hint="eastAsia" w:ascii="宋体" w:hAnsi="宋体"/>
          <w:color w:val="auto"/>
          <w:highlight w:val="none"/>
        </w:rPr>
        <w:t>监狱企业、残疾人福利性单位</w:t>
      </w:r>
      <w:r>
        <w:rPr>
          <w:rFonts w:hint="eastAsia" w:ascii="宋体" w:hAnsi="宋体" w:cs="宋体"/>
          <w:color w:val="auto"/>
          <w:highlight w:val="none"/>
        </w:rPr>
        <w:t>，实行优先采购，按照省级以上财政部门有关政策规定，评审时进行价格扣除或加分。实行政府采购优先采购的优惠率见</w:t>
      </w:r>
      <w:r>
        <w:rPr>
          <w:rFonts w:hint="eastAsia" w:ascii="宋体" w:hAnsi="宋体" w:cs="宋体"/>
          <w:b/>
          <w:color w:val="auto"/>
          <w:highlight w:val="none"/>
        </w:rPr>
        <w:t>磋商文件前附表。</w:t>
      </w:r>
    </w:p>
    <w:p w14:paraId="0256F291">
      <w:pPr>
        <w:adjustRightInd w:val="0"/>
        <w:snapToGrid w:val="0"/>
        <w:spacing w:line="520" w:lineRule="exact"/>
        <w:ind w:firstLine="420" w:firstLineChars="200"/>
        <w:rPr>
          <w:rFonts w:ascii="宋体" w:hAnsi="宋体" w:cs="宋体"/>
          <w:color w:val="auto"/>
          <w:kern w:val="0"/>
          <w:szCs w:val="21"/>
          <w:highlight w:val="none"/>
        </w:rPr>
      </w:pPr>
      <w:r>
        <w:rPr>
          <w:rFonts w:ascii="宋体" w:hAnsi="宋体" w:cs="宋体"/>
          <w:color w:val="auto"/>
          <w:kern w:val="0"/>
          <w:szCs w:val="21"/>
          <w:highlight w:val="none"/>
        </w:rPr>
        <w:t>9.3</w:t>
      </w:r>
      <w:r>
        <w:rPr>
          <w:rFonts w:hint="eastAsia" w:ascii="宋体" w:hAnsi="宋体" w:cs="宋体"/>
          <w:color w:val="auto"/>
          <w:kern w:val="0"/>
          <w:szCs w:val="21"/>
          <w:highlight w:val="none"/>
        </w:rPr>
        <w:t>产品同时属于“非强制采购节能产品”、“环境标志产品”的，评审时只有其中一项能享受优先待遇</w:t>
      </w:r>
      <w:r>
        <w:rPr>
          <w:rFonts w:ascii="宋体" w:hAnsi="宋体" w:cs="宋体"/>
          <w:color w:val="auto"/>
          <w:kern w:val="0"/>
          <w:szCs w:val="21"/>
          <w:highlight w:val="none"/>
        </w:rPr>
        <w:t>(</w:t>
      </w:r>
      <w:r>
        <w:rPr>
          <w:rFonts w:hint="eastAsia" w:ascii="宋体" w:hAnsi="宋体" w:cs="宋体"/>
          <w:color w:val="auto"/>
          <w:kern w:val="0"/>
          <w:szCs w:val="21"/>
          <w:highlight w:val="none"/>
        </w:rPr>
        <w:t>供应商自行选择，并在报价文件中并填报相关信息及数据</w:t>
      </w:r>
      <w:r>
        <w:rPr>
          <w:rFonts w:ascii="宋体" w:hAnsi="宋体" w:cs="宋体"/>
          <w:color w:val="auto"/>
          <w:kern w:val="0"/>
          <w:szCs w:val="21"/>
          <w:highlight w:val="none"/>
        </w:rPr>
        <w:t>)</w:t>
      </w:r>
      <w:r>
        <w:rPr>
          <w:rFonts w:hint="eastAsia" w:ascii="宋体" w:hAnsi="宋体" w:cs="宋体"/>
          <w:color w:val="auto"/>
          <w:kern w:val="0"/>
          <w:szCs w:val="21"/>
          <w:highlight w:val="none"/>
        </w:rPr>
        <w:t>；中小企业可以与同时属于“非强制采购节能产品”、“环境标志产品”中的一项重复计算。</w:t>
      </w:r>
    </w:p>
    <w:p w14:paraId="252356ED">
      <w:pPr>
        <w:adjustRightInd w:val="0"/>
        <w:snapToGrid w:val="0"/>
        <w:spacing w:line="520" w:lineRule="exact"/>
        <w:ind w:firstLine="420" w:firstLineChars="200"/>
        <w:jc w:val="left"/>
        <w:rPr>
          <w:rFonts w:ascii="宋体" w:hAnsi="宋体"/>
          <w:color w:val="auto"/>
          <w:szCs w:val="21"/>
          <w:highlight w:val="none"/>
        </w:rPr>
      </w:pPr>
      <w:r>
        <w:rPr>
          <w:rFonts w:ascii="宋体" w:hAnsi="宋体"/>
          <w:color w:val="auto"/>
          <w:szCs w:val="21"/>
          <w:highlight w:val="none"/>
        </w:rPr>
        <w:t>9.4</w:t>
      </w:r>
      <w:r>
        <w:rPr>
          <w:rFonts w:hint="eastAsia" w:ascii="宋体" w:hAnsi="宋体"/>
          <w:color w:val="auto"/>
          <w:szCs w:val="21"/>
          <w:highlight w:val="none"/>
        </w:rPr>
        <w:t>同一项目中部分产品属于优先采购政策的，评审时只对该部分产品的报价实行价格扣除及加分。</w:t>
      </w:r>
    </w:p>
    <w:p w14:paraId="38AC68A0">
      <w:pPr>
        <w:adjustRightInd w:val="0"/>
        <w:snapToGrid w:val="0"/>
        <w:spacing w:line="520" w:lineRule="exact"/>
        <w:ind w:firstLine="420" w:firstLineChars="200"/>
        <w:jc w:val="left"/>
        <w:rPr>
          <w:rFonts w:ascii="宋体" w:hAnsi="宋体"/>
          <w:color w:val="auto"/>
          <w:szCs w:val="21"/>
          <w:highlight w:val="none"/>
        </w:rPr>
      </w:pPr>
      <w:r>
        <w:rPr>
          <w:rFonts w:ascii="宋体" w:hAnsi="宋体"/>
          <w:color w:val="auto"/>
          <w:szCs w:val="21"/>
          <w:highlight w:val="none"/>
        </w:rPr>
        <w:t>9.5</w:t>
      </w:r>
      <w:r>
        <w:rPr>
          <w:rFonts w:hint="eastAsia" w:ascii="宋体" w:hAnsi="宋体"/>
          <w:color w:val="auto"/>
          <w:szCs w:val="21"/>
          <w:highlight w:val="none"/>
        </w:rPr>
        <w:t>符合本章第</w:t>
      </w:r>
      <w:r>
        <w:rPr>
          <w:rFonts w:ascii="宋体" w:hAnsi="宋体"/>
          <w:color w:val="auto"/>
          <w:szCs w:val="21"/>
          <w:highlight w:val="none"/>
        </w:rPr>
        <w:t>9.1</w:t>
      </w:r>
      <w:r>
        <w:rPr>
          <w:rFonts w:hint="eastAsia" w:ascii="宋体" w:hAnsi="宋体" w:cs="宋体"/>
          <w:color w:val="auto"/>
          <w:kern w:val="0"/>
          <w:szCs w:val="21"/>
          <w:highlight w:val="none"/>
          <w:lang w:val="zh-CN"/>
        </w:rPr>
        <w:t>款、</w:t>
      </w:r>
      <w:r>
        <w:rPr>
          <w:rFonts w:hint="eastAsia" w:ascii="宋体" w:hAnsi="宋体"/>
          <w:color w:val="auto"/>
          <w:szCs w:val="21"/>
          <w:highlight w:val="none"/>
        </w:rPr>
        <w:t>第</w:t>
      </w:r>
      <w:r>
        <w:rPr>
          <w:rFonts w:ascii="宋体" w:hAnsi="宋体"/>
          <w:color w:val="auto"/>
          <w:szCs w:val="21"/>
          <w:highlight w:val="none"/>
        </w:rPr>
        <w:t>9.2</w:t>
      </w:r>
      <w:r>
        <w:rPr>
          <w:rFonts w:hint="eastAsia" w:ascii="宋体" w:hAnsi="宋体" w:cs="宋体"/>
          <w:color w:val="auto"/>
          <w:kern w:val="0"/>
          <w:szCs w:val="21"/>
          <w:highlight w:val="none"/>
          <w:lang w:val="zh-CN"/>
        </w:rPr>
        <w:t>款</w:t>
      </w:r>
      <w:r>
        <w:rPr>
          <w:rFonts w:hint="eastAsia" w:ascii="宋体" w:hAnsi="宋体"/>
          <w:color w:val="auto"/>
          <w:szCs w:val="21"/>
          <w:highlight w:val="none"/>
        </w:rPr>
        <w:t>规定的，应提供相关证明资料。</w:t>
      </w:r>
    </w:p>
    <w:p w14:paraId="7EB1EB9A">
      <w:pPr>
        <w:adjustRightInd w:val="0"/>
        <w:snapToGrid w:val="0"/>
        <w:spacing w:line="520" w:lineRule="exact"/>
        <w:ind w:firstLine="420" w:firstLineChars="200"/>
        <w:jc w:val="left"/>
        <w:rPr>
          <w:rFonts w:ascii="宋体" w:hAnsi="宋体"/>
          <w:color w:val="auto"/>
          <w:szCs w:val="21"/>
          <w:highlight w:val="none"/>
        </w:rPr>
      </w:pPr>
      <w:r>
        <w:rPr>
          <w:rFonts w:ascii="宋体" w:hAnsi="宋体"/>
          <w:color w:val="auto"/>
          <w:szCs w:val="21"/>
          <w:highlight w:val="none"/>
        </w:rPr>
        <w:t>9.6</w:t>
      </w:r>
      <w:r>
        <w:rPr>
          <w:rFonts w:hint="eastAsia" w:ascii="宋体" w:hAnsi="宋体"/>
          <w:color w:val="auto"/>
          <w:szCs w:val="21"/>
          <w:highlight w:val="none"/>
        </w:rPr>
        <w:t>供应商有融资、担保需求的，具体办理流程可向</w:t>
      </w:r>
      <w:r>
        <w:rPr>
          <w:rFonts w:hint="eastAsia" w:ascii="宋体" w:hAnsi="宋体"/>
          <w:b/>
          <w:color w:val="auto"/>
          <w:szCs w:val="21"/>
          <w:highlight w:val="none"/>
        </w:rPr>
        <w:t>磋商须知前附表</w:t>
      </w:r>
      <w:r>
        <w:rPr>
          <w:rFonts w:hint="eastAsia" w:ascii="宋体" w:hAnsi="宋体"/>
          <w:color w:val="auto"/>
          <w:szCs w:val="21"/>
          <w:highlight w:val="none"/>
        </w:rPr>
        <w:t>所列金融机构和担保机构询问。</w:t>
      </w:r>
    </w:p>
    <w:p w14:paraId="62FD410C">
      <w:pPr>
        <w:adjustRightInd w:val="0"/>
        <w:snapToGrid w:val="0"/>
        <w:spacing w:line="520" w:lineRule="exact"/>
        <w:ind w:left="902" w:hanging="902" w:hangingChars="376"/>
        <w:rPr>
          <w:rFonts w:ascii="宋体" w:hAnsi="宋体"/>
          <w:color w:val="auto"/>
          <w:sz w:val="24"/>
          <w:highlight w:val="none"/>
        </w:rPr>
      </w:pPr>
      <w:r>
        <w:rPr>
          <w:rFonts w:hint="eastAsia" w:ascii="宋体" w:hAnsi="宋体"/>
          <w:color w:val="auto"/>
          <w:sz w:val="24"/>
          <w:highlight w:val="none"/>
        </w:rPr>
        <w:t>二、磋商文件</w:t>
      </w:r>
    </w:p>
    <w:p w14:paraId="0B7FB9D4">
      <w:pPr>
        <w:adjustRightInd w:val="0"/>
        <w:snapToGrid w:val="0"/>
        <w:spacing w:line="520" w:lineRule="exact"/>
        <w:rPr>
          <w:rFonts w:ascii="宋体" w:hAnsi="宋体"/>
          <w:b/>
          <w:bCs/>
          <w:color w:val="auto"/>
          <w:szCs w:val="21"/>
          <w:highlight w:val="none"/>
        </w:rPr>
      </w:pPr>
      <w:r>
        <w:rPr>
          <w:rFonts w:ascii="宋体" w:hAnsi="宋体"/>
          <w:b/>
          <w:bCs/>
          <w:color w:val="auto"/>
          <w:szCs w:val="21"/>
          <w:highlight w:val="none"/>
        </w:rPr>
        <w:t>10</w:t>
      </w:r>
      <w:r>
        <w:rPr>
          <w:rFonts w:hint="eastAsia" w:ascii="宋体" w:hAnsi="宋体"/>
          <w:b/>
          <w:bCs/>
          <w:color w:val="auto"/>
          <w:szCs w:val="21"/>
          <w:highlight w:val="none"/>
        </w:rPr>
        <w:t>．磋商文件的组成</w:t>
      </w:r>
    </w:p>
    <w:p w14:paraId="3141DFE4">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 xml:space="preserve">10.1 </w:t>
      </w:r>
      <w:r>
        <w:rPr>
          <w:rFonts w:hint="eastAsia" w:ascii="宋体" w:hAnsi="宋体"/>
          <w:color w:val="auto"/>
          <w:highlight w:val="none"/>
        </w:rPr>
        <w:t>磋商文件由下列文件组成：</w:t>
      </w:r>
    </w:p>
    <w:p w14:paraId="50197BE5">
      <w:pPr>
        <w:adjustRightInd w:val="0"/>
        <w:snapToGrid w:val="0"/>
        <w:spacing w:line="520" w:lineRule="exact"/>
        <w:ind w:firstLine="420" w:firstLineChars="200"/>
        <w:rPr>
          <w:rFonts w:ascii="宋体" w:hAnsi="宋体"/>
          <w:color w:val="auto"/>
          <w:highlight w:val="none"/>
        </w:rPr>
      </w:pPr>
      <w:r>
        <w:rPr>
          <w:rFonts w:hint="eastAsia" w:ascii="宋体" w:hAnsi="宋体"/>
          <w:color w:val="auto"/>
          <w:highlight w:val="none"/>
        </w:rPr>
        <w:t>第一章</w:t>
      </w:r>
      <w:r>
        <w:rPr>
          <w:rFonts w:ascii="宋体" w:hAnsi="宋体"/>
          <w:color w:val="auto"/>
          <w:highlight w:val="none"/>
        </w:rPr>
        <w:t xml:space="preserve"> </w:t>
      </w:r>
      <w:r>
        <w:rPr>
          <w:rFonts w:hint="eastAsia" w:ascii="宋体" w:hAnsi="宋体"/>
          <w:color w:val="auto"/>
          <w:highlight w:val="none"/>
        </w:rPr>
        <w:t>磋商邀请</w:t>
      </w:r>
    </w:p>
    <w:p w14:paraId="48B10C66">
      <w:pPr>
        <w:adjustRightInd w:val="0"/>
        <w:snapToGrid w:val="0"/>
        <w:spacing w:line="520" w:lineRule="exact"/>
        <w:ind w:firstLine="420" w:firstLineChars="200"/>
        <w:rPr>
          <w:rFonts w:ascii="宋体" w:hAnsi="宋体"/>
          <w:color w:val="auto"/>
          <w:highlight w:val="none"/>
        </w:rPr>
      </w:pPr>
      <w:r>
        <w:rPr>
          <w:rFonts w:hint="eastAsia" w:ascii="宋体" w:hAnsi="宋体"/>
          <w:color w:val="auto"/>
          <w:highlight w:val="none"/>
        </w:rPr>
        <w:t>第二章</w:t>
      </w:r>
      <w:r>
        <w:rPr>
          <w:rFonts w:ascii="宋体" w:hAnsi="宋体"/>
          <w:color w:val="auto"/>
          <w:highlight w:val="none"/>
        </w:rPr>
        <w:t xml:space="preserve"> </w:t>
      </w:r>
      <w:r>
        <w:rPr>
          <w:rFonts w:hint="eastAsia" w:ascii="宋体" w:hAnsi="宋体"/>
          <w:color w:val="auto"/>
          <w:highlight w:val="none"/>
        </w:rPr>
        <w:t>磋商须知</w:t>
      </w:r>
    </w:p>
    <w:p w14:paraId="35645204">
      <w:pPr>
        <w:adjustRightInd w:val="0"/>
        <w:snapToGrid w:val="0"/>
        <w:spacing w:line="520" w:lineRule="exact"/>
        <w:ind w:firstLine="420" w:firstLineChars="200"/>
        <w:rPr>
          <w:rFonts w:ascii="宋体" w:hAnsi="宋体"/>
          <w:color w:val="auto"/>
          <w:highlight w:val="none"/>
        </w:rPr>
      </w:pPr>
      <w:r>
        <w:rPr>
          <w:rFonts w:hint="eastAsia" w:ascii="宋体" w:hAnsi="宋体"/>
          <w:color w:val="auto"/>
          <w:highlight w:val="none"/>
        </w:rPr>
        <w:t>第三章</w:t>
      </w:r>
      <w:r>
        <w:rPr>
          <w:rFonts w:ascii="宋体" w:hAnsi="宋体"/>
          <w:color w:val="auto"/>
          <w:highlight w:val="none"/>
        </w:rPr>
        <w:t xml:space="preserve"> </w:t>
      </w:r>
      <w:r>
        <w:rPr>
          <w:rFonts w:hint="eastAsia" w:ascii="宋体" w:hAnsi="宋体"/>
          <w:color w:val="auto"/>
          <w:highlight w:val="none"/>
        </w:rPr>
        <w:t>政府采购合同格式条款</w:t>
      </w:r>
    </w:p>
    <w:p w14:paraId="74B8AC9F">
      <w:pPr>
        <w:adjustRightInd w:val="0"/>
        <w:snapToGrid w:val="0"/>
        <w:spacing w:line="520" w:lineRule="exact"/>
        <w:ind w:firstLine="420" w:firstLineChars="200"/>
        <w:rPr>
          <w:rFonts w:ascii="宋体" w:hAnsi="宋体"/>
          <w:color w:val="auto"/>
          <w:highlight w:val="none"/>
        </w:rPr>
      </w:pPr>
      <w:r>
        <w:rPr>
          <w:rFonts w:hint="eastAsia" w:ascii="宋体" w:hAnsi="宋体"/>
          <w:color w:val="auto"/>
          <w:highlight w:val="none"/>
        </w:rPr>
        <w:t>第四章</w:t>
      </w:r>
      <w:r>
        <w:rPr>
          <w:rFonts w:ascii="宋体" w:hAnsi="宋体"/>
          <w:color w:val="auto"/>
          <w:highlight w:val="none"/>
        </w:rPr>
        <w:t xml:space="preserve"> </w:t>
      </w:r>
      <w:r>
        <w:rPr>
          <w:rFonts w:hint="eastAsia" w:ascii="宋体" w:hAnsi="宋体"/>
          <w:color w:val="auto"/>
          <w:highlight w:val="none"/>
        </w:rPr>
        <w:t>采购需求</w:t>
      </w:r>
    </w:p>
    <w:p w14:paraId="4B57B87F">
      <w:pPr>
        <w:adjustRightInd w:val="0"/>
        <w:snapToGrid w:val="0"/>
        <w:spacing w:line="520" w:lineRule="exact"/>
        <w:ind w:firstLine="420" w:firstLineChars="200"/>
        <w:rPr>
          <w:rFonts w:ascii="宋体" w:hAnsi="宋体"/>
          <w:color w:val="auto"/>
          <w:highlight w:val="none"/>
        </w:rPr>
      </w:pPr>
      <w:r>
        <w:rPr>
          <w:rFonts w:hint="eastAsia" w:ascii="宋体" w:hAnsi="宋体"/>
          <w:color w:val="auto"/>
          <w:highlight w:val="none"/>
        </w:rPr>
        <w:t>第五章</w:t>
      </w:r>
      <w:r>
        <w:rPr>
          <w:rFonts w:ascii="宋体" w:hAnsi="宋体"/>
          <w:color w:val="auto"/>
          <w:highlight w:val="none"/>
        </w:rPr>
        <w:t xml:space="preserve"> </w:t>
      </w:r>
      <w:r>
        <w:rPr>
          <w:rFonts w:hint="eastAsia" w:ascii="宋体" w:hAnsi="宋体"/>
          <w:color w:val="auto"/>
          <w:highlight w:val="none"/>
        </w:rPr>
        <w:t>响应文件组成</w:t>
      </w:r>
    </w:p>
    <w:p w14:paraId="2C2E0597">
      <w:pPr>
        <w:adjustRightInd w:val="0"/>
        <w:snapToGrid w:val="0"/>
        <w:spacing w:line="520" w:lineRule="exact"/>
        <w:ind w:firstLine="420" w:firstLineChars="200"/>
        <w:rPr>
          <w:rFonts w:ascii="宋体" w:hAnsi="宋体" w:cs="宋体"/>
          <w:color w:val="auto"/>
          <w:highlight w:val="none"/>
        </w:rPr>
      </w:pPr>
      <w:r>
        <w:rPr>
          <w:rFonts w:ascii="宋体" w:hAnsi="宋体"/>
          <w:color w:val="auto"/>
          <w:highlight w:val="none"/>
        </w:rPr>
        <w:t>10.2</w:t>
      </w:r>
      <w:r>
        <w:rPr>
          <w:rFonts w:hint="eastAsia" w:ascii="宋体" w:hAnsi="宋体" w:cs="宋体"/>
          <w:color w:val="auto"/>
          <w:highlight w:val="none"/>
        </w:rPr>
        <w:t>磋商小组根据与供应商磋商情况可能实质性变动的内容，包括采购需求中的技术、服务要求以及合同条款，</w:t>
      </w:r>
      <w:r>
        <w:rPr>
          <w:rFonts w:hint="eastAsia" w:ascii="宋体" w:hAnsi="宋体"/>
          <w:color w:val="auto"/>
          <w:highlight w:val="none"/>
        </w:rPr>
        <w:t>在</w:t>
      </w:r>
      <w:r>
        <w:rPr>
          <w:rFonts w:hint="eastAsia" w:ascii="宋体" w:hAnsi="宋体"/>
          <w:b/>
          <w:color w:val="auto"/>
          <w:highlight w:val="none"/>
        </w:rPr>
        <w:t>磋商须知前附表</w:t>
      </w:r>
      <w:r>
        <w:rPr>
          <w:rFonts w:hint="eastAsia" w:ascii="宋体" w:hAnsi="宋体"/>
          <w:color w:val="auto"/>
          <w:highlight w:val="none"/>
        </w:rPr>
        <w:t>中明确。</w:t>
      </w:r>
    </w:p>
    <w:p w14:paraId="10349F31">
      <w:pPr>
        <w:adjustRightInd w:val="0"/>
        <w:snapToGrid w:val="0"/>
        <w:spacing w:line="520" w:lineRule="exact"/>
        <w:ind w:firstLine="420" w:firstLineChars="200"/>
        <w:rPr>
          <w:rFonts w:ascii="宋体" w:hAnsi="宋体"/>
          <w:color w:val="auto"/>
          <w:szCs w:val="21"/>
          <w:highlight w:val="none"/>
        </w:rPr>
      </w:pPr>
      <w:r>
        <w:rPr>
          <w:rFonts w:ascii="宋体" w:hAnsi="宋体"/>
          <w:color w:val="auto"/>
          <w:highlight w:val="none"/>
        </w:rPr>
        <w:t>10.3</w:t>
      </w:r>
      <w:r>
        <w:rPr>
          <w:rFonts w:hint="eastAsia" w:ascii="宋体" w:hAnsi="宋体"/>
          <w:color w:val="auto"/>
          <w:szCs w:val="21"/>
          <w:highlight w:val="none"/>
        </w:rPr>
        <w:t>供应商应仔细阅读</w:t>
      </w:r>
      <w:r>
        <w:rPr>
          <w:rFonts w:hint="eastAsia" w:ascii="宋体" w:hAnsi="宋体"/>
          <w:bCs/>
          <w:color w:val="auto"/>
          <w:szCs w:val="21"/>
          <w:highlight w:val="none"/>
        </w:rPr>
        <w:t>磋商</w:t>
      </w:r>
      <w:r>
        <w:rPr>
          <w:rFonts w:hint="eastAsia" w:ascii="宋体" w:hAnsi="宋体"/>
          <w:color w:val="auto"/>
          <w:szCs w:val="21"/>
          <w:highlight w:val="none"/>
        </w:rPr>
        <w:t>文件的全部内容，按照</w:t>
      </w:r>
      <w:r>
        <w:rPr>
          <w:rFonts w:hint="eastAsia" w:ascii="宋体" w:hAnsi="宋体"/>
          <w:bCs/>
          <w:color w:val="auto"/>
          <w:szCs w:val="21"/>
          <w:highlight w:val="none"/>
        </w:rPr>
        <w:t>磋商</w:t>
      </w:r>
      <w:r>
        <w:rPr>
          <w:rFonts w:hint="eastAsia" w:ascii="宋体" w:hAnsi="宋体"/>
          <w:color w:val="auto"/>
          <w:szCs w:val="21"/>
          <w:highlight w:val="none"/>
        </w:rPr>
        <w:t>文件要求编制响应文件。任何对</w:t>
      </w:r>
      <w:r>
        <w:rPr>
          <w:rFonts w:hint="eastAsia" w:ascii="宋体" w:hAnsi="宋体"/>
          <w:bCs/>
          <w:color w:val="auto"/>
          <w:szCs w:val="21"/>
          <w:highlight w:val="none"/>
        </w:rPr>
        <w:t>磋商</w:t>
      </w:r>
      <w:r>
        <w:rPr>
          <w:rFonts w:hint="eastAsia" w:ascii="宋体" w:hAnsi="宋体"/>
          <w:color w:val="auto"/>
          <w:szCs w:val="21"/>
          <w:highlight w:val="none"/>
        </w:rPr>
        <w:t>文件的忽略或误解不能作为响应文件存在缺陷或瑕疵的理由，其风险由供应商承担。</w:t>
      </w:r>
    </w:p>
    <w:p w14:paraId="1687AED0">
      <w:pPr>
        <w:adjustRightInd w:val="0"/>
        <w:snapToGrid w:val="0"/>
        <w:spacing w:line="520" w:lineRule="exact"/>
        <w:rPr>
          <w:rFonts w:ascii="宋体" w:hAnsi="宋体"/>
          <w:b/>
          <w:color w:val="auto"/>
          <w:szCs w:val="21"/>
          <w:highlight w:val="none"/>
        </w:rPr>
      </w:pPr>
      <w:r>
        <w:rPr>
          <w:rFonts w:ascii="宋体" w:hAnsi="宋体"/>
          <w:b/>
          <w:color w:val="auto"/>
          <w:szCs w:val="21"/>
          <w:highlight w:val="none"/>
        </w:rPr>
        <w:t>11.</w:t>
      </w:r>
      <w:r>
        <w:rPr>
          <w:rFonts w:ascii="宋体" w:hAnsi="宋体"/>
          <w:b/>
          <w:color w:val="auto"/>
          <w:highlight w:val="none"/>
        </w:rPr>
        <w:t xml:space="preserve"> </w:t>
      </w:r>
      <w:r>
        <w:rPr>
          <w:rFonts w:hint="eastAsia" w:ascii="宋体" w:hAnsi="宋体"/>
          <w:b/>
          <w:color w:val="auto"/>
          <w:szCs w:val="21"/>
          <w:highlight w:val="none"/>
        </w:rPr>
        <w:t>磋商文件的提供期限</w:t>
      </w:r>
    </w:p>
    <w:p w14:paraId="1207E2B1">
      <w:pPr>
        <w:adjustRightInd w:val="0"/>
        <w:snapToGrid w:val="0"/>
        <w:spacing w:line="520" w:lineRule="exact"/>
        <w:ind w:firstLine="420" w:firstLineChars="200"/>
        <w:rPr>
          <w:rFonts w:ascii="宋体" w:hAnsi="宋体"/>
          <w:color w:val="auto"/>
          <w:szCs w:val="21"/>
          <w:highlight w:val="none"/>
        </w:rPr>
      </w:pPr>
      <w:r>
        <w:rPr>
          <w:rFonts w:ascii="宋体" w:hAnsi="宋体"/>
          <w:color w:val="auto"/>
          <w:szCs w:val="21"/>
          <w:highlight w:val="none"/>
        </w:rPr>
        <w:t>11.1</w:t>
      </w:r>
      <w:r>
        <w:rPr>
          <w:rFonts w:hint="eastAsia" w:ascii="宋体" w:hAnsi="宋体"/>
          <w:color w:val="auto"/>
          <w:szCs w:val="21"/>
          <w:highlight w:val="none"/>
        </w:rPr>
        <w:t>磋商文件的提供期限自开始发出之日起不得少于五个工作日。具体提供期限见</w:t>
      </w:r>
      <w:r>
        <w:rPr>
          <w:rFonts w:hint="eastAsia" w:ascii="宋体" w:hAnsi="宋体"/>
          <w:b/>
          <w:color w:val="auto"/>
          <w:szCs w:val="21"/>
          <w:highlight w:val="none"/>
        </w:rPr>
        <w:t>磋商文件前附表</w:t>
      </w:r>
      <w:r>
        <w:rPr>
          <w:rFonts w:hint="eastAsia" w:ascii="宋体" w:hAnsi="宋体"/>
          <w:color w:val="auto"/>
          <w:szCs w:val="21"/>
          <w:highlight w:val="none"/>
        </w:rPr>
        <w:t>。</w:t>
      </w:r>
    </w:p>
    <w:p w14:paraId="5F4665C9">
      <w:pPr>
        <w:adjustRightInd w:val="0"/>
        <w:snapToGrid w:val="0"/>
        <w:spacing w:line="520" w:lineRule="exact"/>
        <w:ind w:firstLine="420" w:firstLineChars="200"/>
        <w:rPr>
          <w:rFonts w:ascii="宋体" w:hAnsi="宋体"/>
          <w:color w:val="auto"/>
          <w:szCs w:val="21"/>
          <w:highlight w:val="none"/>
        </w:rPr>
      </w:pPr>
      <w:r>
        <w:rPr>
          <w:rFonts w:ascii="宋体" w:hAnsi="宋体"/>
          <w:color w:val="auto"/>
          <w:szCs w:val="21"/>
          <w:highlight w:val="none"/>
        </w:rPr>
        <w:t>11.2</w:t>
      </w:r>
      <w:r>
        <w:rPr>
          <w:rFonts w:hint="eastAsia" w:ascii="宋体" w:hAnsi="宋体"/>
          <w:color w:val="auto"/>
          <w:szCs w:val="21"/>
          <w:highlight w:val="none"/>
        </w:rPr>
        <w:t>供应商应持</w:t>
      </w:r>
      <w:r>
        <w:rPr>
          <w:rFonts w:hint="eastAsia" w:ascii="宋体" w:hAnsi="宋体"/>
          <w:b/>
          <w:color w:val="auto"/>
          <w:szCs w:val="21"/>
          <w:highlight w:val="none"/>
        </w:rPr>
        <w:t>磋商文件前附表</w:t>
      </w:r>
      <w:r>
        <w:rPr>
          <w:rFonts w:hint="eastAsia" w:ascii="宋体" w:hAnsi="宋体"/>
          <w:color w:val="auto"/>
          <w:szCs w:val="21"/>
          <w:highlight w:val="none"/>
        </w:rPr>
        <w:t>规定的资料领取或购买磋商文件。</w:t>
      </w:r>
    </w:p>
    <w:p w14:paraId="11EA296E">
      <w:pPr>
        <w:adjustRightInd w:val="0"/>
        <w:snapToGrid w:val="0"/>
        <w:spacing w:line="520" w:lineRule="exact"/>
        <w:rPr>
          <w:rFonts w:ascii="宋体" w:hAnsi="宋体"/>
          <w:color w:val="auto"/>
          <w:highlight w:val="none"/>
        </w:rPr>
      </w:pPr>
      <w:r>
        <w:rPr>
          <w:rFonts w:ascii="宋体" w:hAnsi="宋体"/>
          <w:b/>
          <w:color w:val="auto"/>
          <w:highlight w:val="none"/>
        </w:rPr>
        <w:t>12.</w:t>
      </w:r>
      <w:r>
        <w:rPr>
          <w:rFonts w:hint="eastAsia" w:ascii="宋体" w:hAnsi="宋体" w:cs="宋体"/>
          <w:b/>
          <w:color w:val="auto"/>
          <w:highlight w:val="none"/>
        </w:rPr>
        <w:t>提交首次响应文件</w:t>
      </w:r>
      <w:r>
        <w:rPr>
          <w:rFonts w:hint="eastAsia" w:ascii="宋体" w:hAnsi="宋体"/>
          <w:b/>
          <w:color w:val="auto"/>
          <w:highlight w:val="none"/>
        </w:rPr>
        <w:t>的</w:t>
      </w:r>
      <w:r>
        <w:rPr>
          <w:rFonts w:hint="eastAsia" w:ascii="宋体" w:hAnsi="宋体" w:cs="宋体"/>
          <w:b/>
          <w:color w:val="auto"/>
          <w:highlight w:val="none"/>
        </w:rPr>
        <w:t>截止</w:t>
      </w:r>
      <w:r>
        <w:rPr>
          <w:rFonts w:hint="eastAsia" w:ascii="宋体" w:hAnsi="宋体"/>
          <w:b/>
          <w:color w:val="auto"/>
          <w:highlight w:val="none"/>
        </w:rPr>
        <w:t>时间</w:t>
      </w:r>
    </w:p>
    <w:p w14:paraId="22F6CB00">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12.1</w:t>
      </w:r>
      <w:r>
        <w:rPr>
          <w:rFonts w:hint="eastAsia" w:ascii="宋体" w:hAnsi="宋体" w:cs="宋体"/>
          <w:color w:val="auto"/>
          <w:highlight w:val="none"/>
        </w:rPr>
        <w:t>供应商提交首次响应文件截止</w:t>
      </w:r>
      <w:r>
        <w:rPr>
          <w:rFonts w:hint="eastAsia" w:ascii="宋体" w:hAnsi="宋体"/>
          <w:color w:val="auto"/>
          <w:highlight w:val="none"/>
        </w:rPr>
        <w:t>时间见</w:t>
      </w:r>
      <w:r>
        <w:rPr>
          <w:rFonts w:hint="eastAsia" w:ascii="宋体" w:hAnsi="宋体"/>
          <w:b/>
          <w:color w:val="auto"/>
          <w:highlight w:val="none"/>
        </w:rPr>
        <w:t>磋商须知前附表</w:t>
      </w:r>
      <w:r>
        <w:rPr>
          <w:rFonts w:hint="eastAsia" w:ascii="宋体" w:hAnsi="宋体"/>
          <w:color w:val="auto"/>
          <w:highlight w:val="none"/>
        </w:rPr>
        <w:t>。</w:t>
      </w:r>
    </w:p>
    <w:p w14:paraId="1222DF94">
      <w:pPr>
        <w:adjustRightInd w:val="0"/>
        <w:snapToGrid w:val="0"/>
        <w:spacing w:line="520" w:lineRule="exact"/>
        <w:rPr>
          <w:rFonts w:ascii="宋体" w:hAnsi="宋体"/>
          <w:b/>
          <w:bCs/>
          <w:color w:val="auto"/>
          <w:szCs w:val="21"/>
          <w:highlight w:val="none"/>
        </w:rPr>
      </w:pPr>
      <w:r>
        <w:rPr>
          <w:rFonts w:ascii="宋体" w:hAnsi="宋体"/>
          <w:b/>
          <w:bCs/>
          <w:color w:val="auto"/>
          <w:szCs w:val="21"/>
          <w:highlight w:val="none"/>
        </w:rPr>
        <w:t>13.</w:t>
      </w:r>
      <w:r>
        <w:rPr>
          <w:rFonts w:hint="eastAsia" w:ascii="宋体" w:hAnsi="宋体"/>
          <w:b/>
          <w:bCs/>
          <w:color w:val="auto"/>
          <w:szCs w:val="21"/>
          <w:highlight w:val="none"/>
        </w:rPr>
        <w:t>磋商文件的澄清</w:t>
      </w:r>
      <w:r>
        <w:rPr>
          <w:rFonts w:hint="eastAsia" w:ascii="宋体" w:hAnsi="宋体"/>
          <w:b/>
          <w:color w:val="auto"/>
          <w:kern w:val="0"/>
          <w:szCs w:val="21"/>
          <w:highlight w:val="none"/>
          <w:lang w:val="zh-CN"/>
        </w:rPr>
        <w:t>或者</w:t>
      </w:r>
      <w:r>
        <w:rPr>
          <w:rFonts w:hint="eastAsia" w:ascii="宋体" w:hAnsi="宋体"/>
          <w:b/>
          <w:bCs/>
          <w:color w:val="auto"/>
          <w:szCs w:val="21"/>
          <w:highlight w:val="none"/>
        </w:rPr>
        <w:t>修改</w:t>
      </w:r>
    </w:p>
    <w:p w14:paraId="76547127">
      <w:pPr>
        <w:adjustRightInd w:val="0"/>
        <w:snapToGrid w:val="0"/>
        <w:spacing w:line="520" w:lineRule="exact"/>
        <w:ind w:right="-105" w:rightChars="-50" w:firstLine="420" w:firstLineChars="200"/>
        <w:rPr>
          <w:rFonts w:ascii="宋体" w:hAnsi="宋体" w:cs="宋体"/>
          <w:color w:val="auto"/>
          <w:kern w:val="0"/>
          <w:szCs w:val="21"/>
          <w:highlight w:val="none"/>
        </w:rPr>
      </w:pPr>
      <w:r>
        <w:rPr>
          <w:rFonts w:ascii="宋体" w:hAnsi="宋体"/>
          <w:color w:val="auto"/>
          <w:szCs w:val="21"/>
          <w:highlight w:val="none"/>
        </w:rPr>
        <w:t>13.1</w:t>
      </w:r>
      <w:r>
        <w:rPr>
          <w:rFonts w:hint="eastAsia" w:ascii="宋体" w:hAnsi="宋体"/>
          <w:color w:val="auto"/>
          <w:szCs w:val="21"/>
          <w:highlight w:val="none"/>
        </w:rPr>
        <w:t>在</w:t>
      </w:r>
      <w:r>
        <w:rPr>
          <w:rFonts w:hint="eastAsia" w:ascii="宋体" w:hAnsi="宋体" w:cs="宋体"/>
          <w:color w:val="auto"/>
          <w:kern w:val="0"/>
          <w:szCs w:val="21"/>
          <w:highlight w:val="none"/>
        </w:rPr>
        <w:t>提交首次响应文件截止之日前，采购人、采购代理机构可以对已发出的磋商文件进行必要的澄清或者修改。</w:t>
      </w:r>
      <w:r>
        <w:rPr>
          <w:rFonts w:ascii="宋体" w:hAnsi="宋体" w:cs="宋体"/>
          <w:color w:val="auto"/>
          <w:kern w:val="0"/>
          <w:szCs w:val="21"/>
          <w:highlight w:val="none"/>
        </w:rPr>
        <w:t xml:space="preserve"> </w:t>
      </w:r>
    </w:p>
    <w:p w14:paraId="0DB061E6">
      <w:pPr>
        <w:adjustRightInd w:val="0"/>
        <w:snapToGrid w:val="0"/>
        <w:spacing w:line="520" w:lineRule="exact"/>
        <w:ind w:right="-105" w:rightChars="-50" w:firstLine="420" w:firstLineChars="200"/>
        <w:rPr>
          <w:rFonts w:ascii="宋体" w:hAnsi="宋体" w:cs="宋体"/>
          <w:color w:val="auto"/>
          <w:kern w:val="0"/>
          <w:szCs w:val="21"/>
          <w:highlight w:val="none"/>
        </w:rPr>
      </w:pPr>
      <w:r>
        <w:rPr>
          <w:rFonts w:ascii="宋体" w:hAnsi="宋体"/>
          <w:color w:val="auto"/>
          <w:szCs w:val="21"/>
          <w:highlight w:val="none"/>
        </w:rPr>
        <w:t>13.2</w:t>
      </w:r>
      <w:r>
        <w:rPr>
          <w:rFonts w:hint="eastAsia" w:ascii="宋体" w:hAnsi="宋体" w:cs="宋体"/>
          <w:color w:val="auto"/>
          <w:kern w:val="0"/>
          <w:szCs w:val="21"/>
          <w:highlight w:val="none"/>
        </w:rPr>
        <w:t>澄清或者修改的内容可能影响响应文件编制的，采购人、采购代理机构应当在提交首次响应文件截止之日</w:t>
      </w:r>
      <w:r>
        <w:rPr>
          <w:rFonts w:ascii="宋体" w:hAnsi="宋体" w:cs="宋体"/>
          <w:color w:val="auto"/>
          <w:kern w:val="0"/>
          <w:szCs w:val="21"/>
          <w:highlight w:val="none"/>
        </w:rPr>
        <w:t>3</w:t>
      </w:r>
      <w:r>
        <w:rPr>
          <w:rFonts w:hint="eastAsia" w:ascii="宋体" w:hAnsi="宋体" w:cs="宋体"/>
          <w:color w:val="auto"/>
          <w:kern w:val="0"/>
          <w:szCs w:val="21"/>
          <w:highlight w:val="none"/>
        </w:rPr>
        <w:t>个工作日前，以书面形式通知所有接收磋商文件的供应商，不足</w:t>
      </w:r>
      <w:r>
        <w:rPr>
          <w:rFonts w:ascii="宋体" w:hAnsi="宋体" w:cs="宋体"/>
          <w:color w:val="auto"/>
          <w:kern w:val="0"/>
          <w:szCs w:val="21"/>
          <w:highlight w:val="none"/>
        </w:rPr>
        <w:t>3</w:t>
      </w:r>
      <w:r>
        <w:rPr>
          <w:rFonts w:hint="eastAsia" w:ascii="宋体" w:hAnsi="宋体" w:cs="宋体"/>
          <w:color w:val="auto"/>
          <w:kern w:val="0"/>
          <w:szCs w:val="21"/>
          <w:highlight w:val="none"/>
        </w:rPr>
        <w:t>个工作日的，顺延供应商提交首次响应文件截止时间。</w:t>
      </w:r>
    </w:p>
    <w:p w14:paraId="524E874B">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13.2</w:t>
      </w:r>
      <w:r>
        <w:rPr>
          <w:rFonts w:hint="eastAsia" w:ascii="宋体" w:hAnsi="宋体" w:cs="宋体"/>
          <w:color w:val="auto"/>
          <w:highlight w:val="none"/>
        </w:rPr>
        <w:t>提交首次响应文件截止时间前对磋商文件澄清或者修改内容，为磋商文件的组成部分。</w:t>
      </w:r>
    </w:p>
    <w:p w14:paraId="4707A028">
      <w:pPr>
        <w:adjustRightInd w:val="0"/>
        <w:snapToGrid w:val="0"/>
        <w:spacing w:line="520" w:lineRule="exact"/>
        <w:ind w:left="902" w:hanging="902" w:hangingChars="376"/>
        <w:rPr>
          <w:rFonts w:ascii="宋体" w:hAnsi="宋体"/>
          <w:color w:val="auto"/>
          <w:sz w:val="24"/>
          <w:highlight w:val="none"/>
        </w:rPr>
      </w:pPr>
      <w:r>
        <w:rPr>
          <w:rFonts w:hint="eastAsia" w:ascii="宋体" w:hAnsi="宋体"/>
          <w:color w:val="auto"/>
          <w:sz w:val="24"/>
          <w:highlight w:val="none"/>
        </w:rPr>
        <w:t>三、响应文件</w:t>
      </w:r>
    </w:p>
    <w:p w14:paraId="480481ED">
      <w:pPr>
        <w:adjustRightInd w:val="0"/>
        <w:snapToGrid w:val="0"/>
        <w:spacing w:line="520" w:lineRule="exact"/>
        <w:rPr>
          <w:rFonts w:ascii="宋体" w:hAnsi="宋体"/>
          <w:b/>
          <w:bCs/>
          <w:color w:val="auto"/>
          <w:szCs w:val="21"/>
          <w:highlight w:val="none"/>
        </w:rPr>
      </w:pPr>
      <w:r>
        <w:rPr>
          <w:rFonts w:ascii="宋体" w:hAnsi="宋体"/>
          <w:b/>
          <w:bCs/>
          <w:color w:val="auto"/>
          <w:szCs w:val="21"/>
          <w:highlight w:val="none"/>
        </w:rPr>
        <w:t>14.</w:t>
      </w:r>
      <w:r>
        <w:rPr>
          <w:rFonts w:hint="eastAsia" w:ascii="宋体" w:hAnsi="宋体"/>
          <w:b/>
          <w:bCs/>
          <w:color w:val="auto"/>
          <w:szCs w:val="21"/>
          <w:highlight w:val="none"/>
        </w:rPr>
        <w:t>一般要求</w:t>
      </w:r>
    </w:p>
    <w:p w14:paraId="20AD45B1">
      <w:pPr>
        <w:adjustRightInd w:val="0"/>
        <w:snapToGrid w:val="0"/>
        <w:spacing w:line="520" w:lineRule="exact"/>
        <w:ind w:firstLine="420" w:firstLineChars="200"/>
        <w:rPr>
          <w:rFonts w:ascii="宋体" w:hAnsi="宋体"/>
          <w:bCs/>
          <w:color w:val="auto"/>
          <w:szCs w:val="21"/>
          <w:highlight w:val="none"/>
        </w:rPr>
      </w:pPr>
      <w:r>
        <w:rPr>
          <w:rFonts w:ascii="宋体" w:hAnsi="宋体"/>
          <w:bCs/>
          <w:color w:val="auto"/>
          <w:szCs w:val="21"/>
          <w:highlight w:val="none"/>
        </w:rPr>
        <w:t xml:space="preserve">14.1 </w:t>
      </w:r>
      <w:r>
        <w:rPr>
          <w:rFonts w:hint="eastAsia" w:ascii="宋体" w:hAnsi="宋体"/>
          <w:bCs/>
          <w:color w:val="auto"/>
          <w:szCs w:val="21"/>
          <w:highlight w:val="none"/>
        </w:rPr>
        <w:t>供应商应仔细阅读磋商文件的所有内容，按磋商文件的要求编制响应文件，并保证所提供的全部资料的真实性，以使其响应文件对磋商文件做出实质性的响应。</w:t>
      </w:r>
    </w:p>
    <w:p w14:paraId="2F28D668">
      <w:pPr>
        <w:adjustRightInd w:val="0"/>
        <w:snapToGrid w:val="0"/>
        <w:spacing w:line="520" w:lineRule="exact"/>
        <w:ind w:firstLine="420" w:firstLineChars="200"/>
        <w:rPr>
          <w:rFonts w:ascii="宋体" w:hAnsi="宋体"/>
          <w:bCs/>
          <w:color w:val="auto"/>
          <w:szCs w:val="21"/>
          <w:highlight w:val="none"/>
        </w:rPr>
      </w:pPr>
      <w:r>
        <w:rPr>
          <w:rFonts w:ascii="宋体" w:hAnsi="宋体"/>
          <w:bCs/>
          <w:color w:val="auto"/>
          <w:szCs w:val="21"/>
          <w:highlight w:val="none"/>
        </w:rPr>
        <w:t xml:space="preserve">14.2 </w:t>
      </w:r>
      <w:r>
        <w:rPr>
          <w:rFonts w:hint="eastAsia" w:ascii="宋体" w:hAnsi="宋体"/>
          <w:color w:val="auto"/>
          <w:szCs w:val="21"/>
          <w:highlight w:val="none"/>
        </w:rPr>
        <w:t>供应商提交的响应文件及供应商与采购人或采购代理机构、磋商小组就有关磋商的所有来往函电均使用中文。供应商可以提交其它语言的资料，但应附中文注释，在有差异时以中文为准。</w:t>
      </w:r>
    </w:p>
    <w:p w14:paraId="46D9E0E9">
      <w:pPr>
        <w:adjustRightInd w:val="0"/>
        <w:snapToGrid w:val="0"/>
        <w:spacing w:line="520" w:lineRule="exact"/>
        <w:ind w:firstLine="420" w:firstLineChars="200"/>
        <w:rPr>
          <w:rFonts w:ascii="宋体" w:hAnsi="宋体"/>
          <w:color w:val="auto"/>
          <w:highlight w:val="none"/>
        </w:rPr>
      </w:pPr>
      <w:r>
        <w:rPr>
          <w:rFonts w:ascii="宋体" w:hAnsi="宋体"/>
          <w:bCs/>
          <w:color w:val="auto"/>
          <w:highlight w:val="none"/>
        </w:rPr>
        <w:t xml:space="preserve">14.3 </w:t>
      </w:r>
      <w:r>
        <w:rPr>
          <w:rFonts w:hint="eastAsia" w:ascii="宋体" w:hAnsi="宋体"/>
          <w:color w:val="auto"/>
          <w:highlight w:val="none"/>
        </w:rPr>
        <w:t>计量单位应使用我国法定计量单位，未列明时应默认为我国法定计量单位。</w:t>
      </w:r>
    </w:p>
    <w:p w14:paraId="79DAA838">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 xml:space="preserve">14.4 </w:t>
      </w:r>
      <w:r>
        <w:rPr>
          <w:rFonts w:hint="eastAsia" w:ascii="宋体" w:hAnsi="宋体"/>
          <w:color w:val="auto"/>
          <w:highlight w:val="none"/>
        </w:rPr>
        <w:t>响应文件应采用书面形式，电报、传真、电子邮件形式的响应文件概不接受。</w:t>
      </w:r>
    </w:p>
    <w:p w14:paraId="437850C6">
      <w:pPr>
        <w:adjustRightInd w:val="0"/>
        <w:snapToGrid w:val="0"/>
        <w:spacing w:line="520" w:lineRule="exact"/>
        <w:ind w:firstLine="420" w:firstLineChars="200"/>
        <w:rPr>
          <w:rFonts w:ascii="宋体" w:hAnsi="宋体"/>
          <w:color w:val="auto"/>
          <w:szCs w:val="21"/>
          <w:highlight w:val="none"/>
        </w:rPr>
      </w:pPr>
      <w:r>
        <w:rPr>
          <w:rFonts w:ascii="宋体" w:hAnsi="宋体"/>
          <w:color w:val="auto"/>
          <w:szCs w:val="21"/>
          <w:highlight w:val="none"/>
        </w:rPr>
        <w:t xml:space="preserve">14.5 </w:t>
      </w:r>
      <w:r>
        <w:rPr>
          <w:rFonts w:hint="eastAsia" w:ascii="宋体" w:hAnsi="宋体"/>
          <w:color w:val="auto"/>
          <w:szCs w:val="21"/>
          <w:highlight w:val="none"/>
        </w:rPr>
        <w:t>供应商应按磋商文件中提供的响应文件格式填写。</w:t>
      </w:r>
    </w:p>
    <w:p w14:paraId="4DA3110D">
      <w:pPr>
        <w:adjustRightInd w:val="0"/>
        <w:snapToGrid w:val="0"/>
        <w:spacing w:line="520" w:lineRule="exact"/>
        <w:rPr>
          <w:rFonts w:ascii="宋体" w:hAnsi="宋体"/>
          <w:b/>
          <w:bCs/>
          <w:color w:val="auto"/>
          <w:szCs w:val="21"/>
          <w:highlight w:val="none"/>
        </w:rPr>
      </w:pPr>
      <w:r>
        <w:rPr>
          <w:rFonts w:ascii="宋体" w:hAnsi="宋体"/>
          <w:b/>
          <w:bCs/>
          <w:color w:val="auto"/>
          <w:szCs w:val="21"/>
          <w:highlight w:val="none"/>
        </w:rPr>
        <w:t>15.</w:t>
      </w:r>
      <w:r>
        <w:rPr>
          <w:rFonts w:hint="eastAsia" w:ascii="宋体" w:hAnsi="宋体"/>
          <w:b/>
          <w:color w:val="auto"/>
          <w:szCs w:val="21"/>
          <w:highlight w:val="none"/>
        </w:rPr>
        <w:t>响应文件</w:t>
      </w:r>
      <w:r>
        <w:rPr>
          <w:rFonts w:hint="eastAsia" w:ascii="宋体" w:hAnsi="宋体"/>
          <w:b/>
          <w:bCs/>
          <w:color w:val="auto"/>
          <w:szCs w:val="21"/>
          <w:highlight w:val="none"/>
        </w:rPr>
        <w:t>的组成</w:t>
      </w:r>
    </w:p>
    <w:p w14:paraId="7A5796CF">
      <w:pPr>
        <w:adjustRightInd w:val="0"/>
        <w:snapToGrid w:val="0"/>
        <w:spacing w:line="520" w:lineRule="exact"/>
        <w:ind w:firstLine="420" w:firstLineChars="200"/>
        <w:jc w:val="left"/>
        <w:rPr>
          <w:rFonts w:ascii="宋体" w:hAnsi="宋体"/>
          <w:color w:val="auto"/>
          <w:szCs w:val="21"/>
          <w:highlight w:val="none"/>
        </w:rPr>
      </w:pPr>
      <w:r>
        <w:rPr>
          <w:rFonts w:ascii="宋体" w:hAnsi="宋体"/>
          <w:color w:val="auto"/>
          <w:highlight w:val="none"/>
        </w:rPr>
        <w:t xml:space="preserve">15.1 </w:t>
      </w:r>
      <w:r>
        <w:rPr>
          <w:rFonts w:hint="eastAsia" w:ascii="宋体" w:hAnsi="宋体"/>
          <w:color w:val="auto"/>
          <w:highlight w:val="none"/>
        </w:rPr>
        <w:t>响应文件包括下列内容：</w:t>
      </w:r>
      <w:r>
        <w:rPr>
          <w:rFonts w:ascii="宋体" w:hAnsi="宋体"/>
          <w:color w:val="auto"/>
          <w:szCs w:val="21"/>
          <w:highlight w:val="none"/>
        </w:rPr>
        <w:t xml:space="preserve"> </w:t>
      </w:r>
    </w:p>
    <w:p w14:paraId="7FF9542A">
      <w:pPr>
        <w:adjustRightInd w:val="0"/>
        <w:snapToGrid w:val="0"/>
        <w:spacing w:line="520" w:lineRule="exact"/>
        <w:ind w:firstLine="420" w:firstLineChars="200"/>
        <w:rPr>
          <w:rFonts w:ascii="宋体" w:hAnsi="宋体"/>
          <w:color w:val="auto"/>
          <w:highlight w:val="none"/>
        </w:rPr>
      </w:pPr>
      <w:r>
        <w:rPr>
          <w:rFonts w:hint="eastAsia" w:ascii="宋体" w:hAnsi="宋体"/>
          <w:color w:val="auto"/>
          <w:highlight w:val="none"/>
        </w:rPr>
        <w:t>（</w:t>
      </w:r>
      <w:r>
        <w:rPr>
          <w:rFonts w:ascii="宋体" w:hAnsi="宋体"/>
          <w:color w:val="auto"/>
          <w:highlight w:val="none"/>
        </w:rPr>
        <w:t>1</w:t>
      </w:r>
      <w:r>
        <w:rPr>
          <w:rFonts w:hint="eastAsia" w:ascii="宋体" w:hAnsi="宋体"/>
          <w:color w:val="auto"/>
          <w:highlight w:val="none"/>
        </w:rPr>
        <w:t>）磋商响应声明</w:t>
      </w:r>
    </w:p>
    <w:p w14:paraId="0B52C85B">
      <w:pPr>
        <w:adjustRightInd w:val="0"/>
        <w:snapToGrid w:val="0"/>
        <w:spacing w:line="520" w:lineRule="exact"/>
        <w:ind w:firstLine="420" w:firstLineChars="200"/>
        <w:rPr>
          <w:rFonts w:ascii="宋体" w:hAnsi="宋体"/>
          <w:color w:val="auto"/>
          <w:highlight w:val="none"/>
        </w:rPr>
      </w:pPr>
      <w:r>
        <w:rPr>
          <w:rFonts w:hint="eastAsia" w:ascii="宋体" w:hAnsi="宋体"/>
          <w:color w:val="auto"/>
          <w:highlight w:val="none"/>
        </w:rPr>
        <w:t>（</w:t>
      </w:r>
      <w:r>
        <w:rPr>
          <w:rFonts w:ascii="宋体" w:hAnsi="宋体"/>
          <w:color w:val="auto"/>
          <w:highlight w:val="none"/>
        </w:rPr>
        <w:t>2</w:t>
      </w:r>
      <w:r>
        <w:rPr>
          <w:rFonts w:hint="eastAsia" w:ascii="宋体" w:hAnsi="宋体"/>
          <w:color w:val="auto"/>
          <w:highlight w:val="none"/>
        </w:rPr>
        <w:t>）保证金</w:t>
      </w:r>
    </w:p>
    <w:p w14:paraId="3CDB960A">
      <w:pPr>
        <w:adjustRightInd w:val="0"/>
        <w:snapToGrid w:val="0"/>
        <w:spacing w:line="520" w:lineRule="exact"/>
        <w:ind w:firstLine="420" w:firstLineChars="200"/>
        <w:rPr>
          <w:rFonts w:ascii="宋体" w:hAnsi="宋体"/>
          <w:color w:val="auto"/>
          <w:highlight w:val="none"/>
        </w:rPr>
      </w:pPr>
      <w:r>
        <w:rPr>
          <w:rFonts w:hint="eastAsia" w:ascii="宋体" w:hAnsi="宋体"/>
          <w:color w:val="auto"/>
          <w:highlight w:val="none"/>
        </w:rPr>
        <w:t>（</w:t>
      </w:r>
      <w:r>
        <w:rPr>
          <w:rFonts w:ascii="宋体" w:hAnsi="宋体"/>
          <w:color w:val="auto"/>
          <w:highlight w:val="none"/>
        </w:rPr>
        <w:t>3</w:t>
      </w:r>
      <w:r>
        <w:rPr>
          <w:rFonts w:hint="eastAsia" w:ascii="宋体" w:hAnsi="宋体"/>
          <w:color w:val="auto"/>
          <w:highlight w:val="none"/>
        </w:rPr>
        <w:t>）联合体协议</w:t>
      </w:r>
    </w:p>
    <w:p w14:paraId="37D69DCF">
      <w:pPr>
        <w:adjustRightInd w:val="0"/>
        <w:snapToGrid w:val="0"/>
        <w:spacing w:line="520" w:lineRule="exact"/>
        <w:ind w:firstLine="420" w:firstLineChars="200"/>
        <w:rPr>
          <w:rFonts w:ascii="宋体" w:hAnsi="宋体"/>
          <w:color w:val="auto"/>
          <w:highlight w:val="none"/>
        </w:rPr>
      </w:pPr>
      <w:r>
        <w:rPr>
          <w:rFonts w:hint="eastAsia" w:ascii="宋体" w:hAnsi="宋体"/>
          <w:color w:val="auto"/>
          <w:highlight w:val="none"/>
        </w:rPr>
        <w:t>（</w:t>
      </w:r>
      <w:r>
        <w:rPr>
          <w:rFonts w:ascii="宋体" w:hAnsi="宋体"/>
          <w:color w:val="auto"/>
          <w:highlight w:val="none"/>
        </w:rPr>
        <w:t>4</w:t>
      </w:r>
      <w:r>
        <w:rPr>
          <w:rFonts w:hint="eastAsia" w:ascii="宋体" w:hAnsi="宋体"/>
          <w:color w:val="auto"/>
          <w:highlight w:val="none"/>
        </w:rPr>
        <w:t>）供应商的资格证明文件</w:t>
      </w:r>
    </w:p>
    <w:p w14:paraId="2DEDCEDF">
      <w:pPr>
        <w:adjustRightInd w:val="0"/>
        <w:snapToGrid w:val="0"/>
        <w:spacing w:line="520" w:lineRule="exact"/>
        <w:ind w:firstLine="420" w:firstLineChars="200"/>
        <w:rPr>
          <w:rFonts w:ascii="宋体" w:hAnsi="宋体"/>
          <w:color w:val="auto"/>
          <w:highlight w:val="none"/>
        </w:rPr>
      </w:pPr>
      <w:r>
        <w:rPr>
          <w:rFonts w:hint="eastAsia" w:ascii="宋体" w:hAnsi="宋体"/>
          <w:color w:val="auto"/>
          <w:highlight w:val="none"/>
        </w:rPr>
        <w:t>（</w:t>
      </w:r>
      <w:r>
        <w:rPr>
          <w:rFonts w:ascii="宋体" w:hAnsi="宋体"/>
          <w:color w:val="auto"/>
          <w:highlight w:val="none"/>
        </w:rPr>
        <w:t>5</w:t>
      </w:r>
      <w:r>
        <w:rPr>
          <w:rFonts w:hint="eastAsia" w:ascii="宋体" w:hAnsi="宋体"/>
          <w:color w:val="auto"/>
          <w:highlight w:val="none"/>
        </w:rPr>
        <w:t>）货物或服务方案说明</w:t>
      </w:r>
    </w:p>
    <w:p w14:paraId="6E08F2C9">
      <w:pPr>
        <w:adjustRightInd w:val="0"/>
        <w:snapToGrid w:val="0"/>
        <w:spacing w:line="520" w:lineRule="exact"/>
        <w:ind w:firstLine="420" w:firstLineChars="200"/>
        <w:rPr>
          <w:rFonts w:ascii="宋体" w:hAnsi="宋体"/>
          <w:color w:val="auto"/>
          <w:highlight w:val="none"/>
        </w:rPr>
      </w:pPr>
      <w:r>
        <w:rPr>
          <w:rFonts w:hint="eastAsia" w:ascii="宋体" w:hAnsi="宋体"/>
          <w:color w:val="auto"/>
          <w:highlight w:val="none"/>
        </w:rPr>
        <w:t>（</w:t>
      </w:r>
      <w:r>
        <w:rPr>
          <w:rFonts w:ascii="宋体" w:hAnsi="宋体"/>
          <w:color w:val="auto"/>
          <w:highlight w:val="none"/>
        </w:rPr>
        <w:t>6</w:t>
      </w:r>
      <w:r>
        <w:rPr>
          <w:rFonts w:hint="eastAsia" w:ascii="宋体" w:hAnsi="宋体"/>
          <w:color w:val="auto"/>
          <w:highlight w:val="none"/>
        </w:rPr>
        <w:t>）技术</w:t>
      </w:r>
      <w:r>
        <w:rPr>
          <w:rFonts w:ascii="宋体" w:hAnsi="宋体"/>
          <w:color w:val="auto"/>
          <w:highlight w:val="none"/>
        </w:rPr>
        <w:t>/</w:t>
      </w:r>
      <w:r>
        <w:rPr>
          <w:rFonts w:hint="eastAsia" w:ascii="宋体" w:hAnsi="宋体"/>
          <w:color w:val="auto"/>
          <w:highlight w:val="none"/>
        </w:rPr>
        <w:t>商务响应与偏离表</w:t>
      </w:r>
    </w:p>
    <w:p w14:paraId="4BF4ED38">
      <w:pPr>
        <w:adjustRightInd w:val="0"/>
        <w:snapToGrid w:val="0"/>
        <w:spacing w:line="520" w:lineRule="exact"/>
        <w:ind w:firstLine="420" w:firstLineChars="200"/>
        <w:rPr>
          <w:rFonts w:ascii="宋体" w:hAnsi="宋体"/>
          <w:color w:val="auto"/>
          <w:highlight w:val="none"/>
        </w:rPr>
      </w:pPr>
      <w:r>
        <w:rPr>
          <w:rFonts w:hint="eastAsia" w:ascii="宋体" w:hAnsi="宋体"/>
          <w:color w:val="auto"/>
          <w:highlight w:val="none"/>
        </w:rPr>
        <w:t>（</w:t>
      </w:r>
      <w:r>
        <w:rPr>
          <w:rFonts w:ascii="宋体" w:hAnsi="宋体"/>
          <w:color w:val="auto"/>
          <w:highlight w:val="none"/>
        </w:rPr>
        <w:t>7</w:t>
      </w:r>
      <w:r>
        <w:rPr>
          <w:rFonts w:hint="eastAsia" w:ascii="宋体" w:hAnsi="宋体"/>
          <w:color w:val="auto"/>
          <w:highlight w:val="none"/>
        </w:rPr>
        <w:t>）提供享受政府采购政策的证明材料和清单表</w:t>
      </w:r>
    </w:p>
    <w:p w14:paraId="7226702C">
      <w:pPr>
        <w:adjustRightInd w:val="0"/>
        <w:snapToGrid w:val="0"/>
        <w:spacing w:line="520" w:lineRule="exact"/>
        <w:ind w:firstLine="420" w:firstLineChars="200"/>
        <w:rPr>
          <w:rFonts w:ascii="宋体" w:hAnsi="宋体"/>
          <w:color w:val="auto"/>
          <w:highlight w:val="none"/>
        </w:rPr>
      </w:pPr>
      <w:r>
        <w:rPr>
          <w:rFonts w:hint="eastAsia" w:ascii="宋体" w:hAnsi="宋体"/>
          <w:color w:val="auto"/>
          <w:highlight w:val="none"/>
        </w:rPr>
        <w:t>（</w:t>
      </w:r>
      <w:r>
        <w:rPr>
          <w:rFonts w:ascii="宋体" w:hAnsi="宋体"/>
          <w:color w:val="auto"/>
          <w:highlight w:val="none"/>
        </w:rPr>
        <w:t>8</w:t>
      </w:r>
      <w:r>
        <w:rPr>
          <w:rFonts w:hint="eastAsia" w:ascii="宋体" w:hAnsi="宋体"/>
          <w:color w:val="auto"/>
          <w:highlight w:val="none"/>
        </w:rPr>
        <w:t>）经销或代理或为货物提供售后服务的证明材料</w:t>
      </w:r>
    </w:p>
    <w:p w14:paraId="434212E7">
      <w:pPr>
        <w:adjustRightInd w:val="0"/>
        <w:snapToGrid w:val="0"/>
        <w:spacing w:line="520" w:lineRule="exact"/>
        <w:ind w:firstLine="420" w:firstLineChars="200"/>
        <w:rPr>
          <w:rFonts w:ascii="宋体" w:hAnsi="宋体"/>
          <w:color w:val="auto"/>
          <w:highlight w:val="none"/>
        </w:rPr>
      </w:pPr>
      <w:r>
        <w:rPr>
          <w:rFonts w:hint="eastAsia" w:ascii="宋体" w:hAnsi="宋体"/>
          <w:color w:val="auto"/>
          <w:highlight w:val="none"/>
        </w:rPr>
        <w:t>（</w:t>
      </w:r>
      <w:r>
        <w:rPr>
          <w:rFonts w:ascii="宋体" w:hAnsi="宋体"/>
          <w:color w:val="auto"/>
          <w:highlight w:val="none"/>
        </w:rPr>
        <w:t>9</w:t>
      </w:r>
      <w:r>
        <w:rPr>
          <w:rFonts w:hint="eastAsia" w:ascii="宋体" w:hAnsi="宋体"/>
          <w:color w:val="auto"/>
          <w:highlight w:val="none"/>
        </w:rPr>
        <w:t>）报价一览表</w:t>
      </w:r>
    </w:p>
    <w:p w14:paraId="3E7B373E">
      <w:pPr>
        <w:adjustRightInd w:val="0"/>
        <w:snapToGrid w:val="0"/>
        <w:spacing w:line="520" w:lineRule="exact"/>
        <w:ind w:firstLine="420" w:firstLineChars="200"/>
        <w:rPr>
          <w:rFonts w:ascii="宋体" w:hAnsi="宋体"/>
          <w:color w:val="auto"/>
          <w:highlight w:val="none"/>
        </w:rPr>
      </w:pPr>
      <w:r>
        <w:rPr>
          <w:rFonts w:hint="eastAsia" w:ascii="宋体" w:hAnsi="宋体"/>
          <w:color w:val="auto"/>
          <w:highlight w:val="none"/>
        </w:rPr>
        <w:t>（</w:t>
      </w:r>
      <w:r>
        <w:rPr>
          <w:rFonts w:ascii="宋体" w:hAnsi="宋体"/>
          <w:color w:val="auto"/>
          <w:highlight w:val="none"/>
        </w:rPr>
        <w:t>10</w:t>
      </w:r>
      <w:r>
        <w:rPr>
          <w:rFonts w:hint="eastAsia" w:ascii="宋体" w:hAnsi="宋体"/>
          <w:color w:val="auto"/>
          <w:highlight w:val="none"/>
        </w:rPr>
        <w:t>）供应商认为需提供的其他资料</w:t>
      </w:r>
    </w:p>
    <w:p w14:paraId="1D8A6C75">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15.2</w:t>
      </w:r>
      <w:r>
        <w:rPr>
          <w:rFonts w:hint="eastAsia" w:ascii="宋体" w:hAnsi="宋体"/>
          <w:color w:val="auto"/>
          <w:highlight w:val="none"/>
        </w:rPr>
        <w:t>在磋商过程中，</w:t>
      </w:r>
      <w:r>
        <w:rPr>
          <w:rFonts w:hint="eastAsia" w:ascii="宋体" w:hAnsi="宋体"/>
          <w:color w:val="auto"/>
          <w:szCs w:val="21"/>
          <w:highlight w:val="none"/>
        </w:rPr>
        <w:t>供应商</w:t>
      </w:r>
      <w:r>
        <w:rPr>
          <w:rFonts w:hint="eastAsia" w:ascii="宋体" w:hAnsi="宋体"/>
          <w:color w:val="auto"/>
          <w:highlight w:val="none"/>
        </w:rPr>
        <w:t>根据</w:t>
      </w:r>
      <w:r>
        <w:rPr>
          <w:rFonts w:hint="eastAsia" w:ascii="宋体" w:hAnsi="宋体" w:cs="宋体"/>
          <w:color w:val="auto"/>
          <w:kern w:val="0"/>
          <w:szCs w:val="21"/>
          <w:highlight w:val="none"/>
        </w:rPr>
        <w:t>磋商小组</w:t>
      </w:r>
      <w:r>
        <w:rPr>
          <w:rFonts w:hint="eastAsia" w:ascii="宋体" w:hAnsi="宋体"/>
          <w:bCs/>
          <w:color w:val="auto"/>
          <w:szCs w:val="21"/>
          <w:highlight w:val="none"/>
        </w:rPr>
        <w:t>书面形式要求</w:t>
      </w:r>
      <w:r>
        <w:rPr>
          <w:rFonts w:hint="eastAsia" w:ascii="宋体" w:hAnsi="宋体" w:cs="宋体"/>
          <w:color w:val="auto"/>
          <w:kern w:val="0"/>
          <w:szCs w:val="21"/>
          <w:highlight w:val="none"/>
        </w:rPr>
        <w:t>提交的</w:t>
      </w:r>
      <w:r>
        <w:rPr>
          <w:rFonts w:hint="eastAsia" w:ascii="宋体" w:hAnsi="宋体"/>
          <w:color w:val="auto"/>
          <w:highlight w:val="none"/>
        </w:rPr>
        <w:t>最后报价</w:t>
      </w:r>
      <w:r>
        <w:rPr>
          <w:rFonts w:ascii="宋体" w:hAnsi="宋体"/>
          <w:color w:val="auto"/>
          <w:highlight w:val="none"/>
        </w:rPr>
        <w:t>(</w:t>
      </w:r>
      <w:r>
        <w:rPr>
          <w:rFonts w:hint="eastAsia" w:ascii="宋体" w:hAnsi="宋体"/>
          <w:color w:val="auto"/>
          <w:highlight w:val="none"/>
        </w:rPr>
        <w:t>或者</w:t>
      </w:r>
      <w:r>
        <w:rPr>
          <w:rFonts w:hint="eastAsia" w:ascii="宋体" w:hAnsi="宋体"/>
          <w:bCs/>
          <w:color w:val="auto"/>
          <w:szCs w:val="21"/>
          <w:highlight w:val="none"/>
        </w:rPr>
        <w:t>重</w:t>
      </w:r>
      <w:r>
        <w:rPr>
          <w:rFonts w:hint="eastAsia" w:ascii="宋体" w:hAnsi="宋体" w:cs="宋体"/>
          <w:color w:val="auto"/>
          <w:kern w:val="0"/>
          <w:szCs w:val="21"/>
          <w:highlight w:val="none"/>
        </w:rPr>
        <w:t>新提交的响应文件和</w:t>
      </w:r>
      <w:r>
        <w:rPr>
          <w:rFonts w:hint="eastAsia" w:ascii="宋体" w:hAnsi="宋体"/>
          <w:color w:val="auto"/>
          <w:highlight w:val="none"/>
        </w:rPr>
        <w:t>最后报价</w:t>
      </w:r>
      <w:r>
        <w:rPr>
          <w:rFonts w:ascii="宋体" w:hAnsi="宋体"/>
          <w:color w:val="auto"/>
          <w:highlight w:val="none"/>
        </w:rPr>
        <w:t>)</w:t>
      </w:r>
      <w:r>
        <w:rPr>
          <w:rFonts w:hint="eastAsia" w:ascii="宋体" w:hAnsi="宋体"/>
          <w:color w:val="auto"/>
          <w:highlight w:val="none"/>
        </w:rPr>
        <w:t>是</w:t>
      </w:r>
      <w:r>
        <w:rPr>
          <w:rFonts w:hint="eastAsia" w:ascii="宋体" w:hAnsi="宋体"/>
          <w:color w:val="auto"/>
          <w:szCs w:val="21"/>
          <w:highlight w:val="none"/>
        </w:rPr>
        <w:t>响应文件</w:t>
      </w:r>
      <w:r>
        <w:rPr>
          <w:rFonts w:hint="eastAsia" w:ascii="宋体" w:hAnsi="宋体"/>
          <w:color w:val="auto"/>
          <w:highlight w:val="none"/>
        </w:rPr>
        <w:t>的有效组成部分。</w:t>
      </w:r>
    </w:p>
    <w:p w14:paraId="3132019F">
      <w:pPr>
        <w:adjustRightInd w:val="0"/>
        <w:snapToGrid w:val="0"/>
        <w:spacing w:line="520" w:lineRule="exact"/>
        <w:ind w:firstLine="420" w:firstLineChars="200"/>
        <w:rPr>
          <w:rFonts w:ascii="宋体" w:hAnsi="宋体"/>
          <w:b/>
          <w:color w:val="auto"/>
          <w:highlight w:val="none"/>
        </w:rPr>
      </w:pPr>
      <w:r>
        <w:rPr>
          <w:rFonts w:ascii="宋体" w:hAnsi="宋体"/>
          <w:color w:val="auto"/>
          <w:highlight w:val="none"/>
        </w:rPr>
        <w:t>15.3</w:t>
      </w:r>
      <w:r>
        <w:rPr>
          <w:rFonts w:hint="eastAsia" w:ascii="宋体" w:hAnsi="宋体" w:cs="宋体"/>
          <w:color w:val="auto"/>
          <w:kern w:val="0"/>
          <w:szCs w:val="21"/>
          <w:highlight w:val="none"/>
        </w:rPr>
        <w:t>磋商文件规定可能发生实质性变动的，供应商应当在</w:t>
      </w:r>
      <w:r>
        <w:rPr>
          <w:rFonts w:hint="eastAsia" w:ascii="宋体" w:hAnsi="宋体"/>
          <w:color w:val="auto"/>
          <w:highlight w:val="none"/>
        </w:rPr>
        <w:t>《技术</w:t>
      </w:r>
      <w:r>
        <w:rPr>
          <w:rFonts w:ascii="宋体" w:hAnsi="宋体"/>
          <w:color w:val="auto"/>
          <w:highlight w:val="none"/>
        </w:rPr>
        <w:t>/</w:t>
      </w:r>
      <w:r>
        <w:rPr>
          <w:rFonts w:hint="eastAsia" w:ascii="宋体" w:hAnsi="宋体"/>
          <w:color w:val="auto"/>
          <w:highlight w:val="none"/>
        </w:rPr>
        <w:t>商务响应与偏离表》中对应内容注明。</w:t>
      </w:r>
    </w:p>
    <w:p w14:paraId="538ABD69">
      <w:pPr>
        <w:adjustRightInd w:val="0"/>
        <w:snapToGrid w:val="0"/>
        <w:spacing w:line="520" w:lineRule="exact"/>
        <w:ind w:firstLine="420" w:firstLineChars="200"/>
        <w:rPr>
          <w:rFonts w:ascii="宋体" w:hAnsi="宋体"/>
          <w:color w:val="auto"/>
          <w:szCs w:val="21"/>
          <w:highlight w:val="none"/>
        </w:rPr>
      </w:pPr>
      <w:r>
        <w:rPr>
          <w:rFonts w:ascii="宋体" w:hAnsi="宋体"/>
          <w:color w:val="auto"/>
          <w:highlight w:val="none"/>
        </w:rPr>
        <w:t>15.4</w:t>
      </w:r>
      <w:r>
        <w:rPr>
          <w:rFonts w:hint="eastAsia" w:ascii="宋体" w:hAnsi="宋体"/>
          <w:color w:val="auto"/>
          <w:szCs w:val="21"/>
          <w:highlight w:val="none"/>
        </w:rPr>
        <w:t>根据《政府采购法》第四十二条的规定，供应商无论成交与否，其响应文件不予退还。</w:t>
      </w:r>
    </w:p>
    <w:p w14:paraId="766E6B69">
      <w:pPr>
        <w:adjustRightInd w:val="0"/>
        <w:snapToGrid w:val="0"/>
        <w:spacing w:line="520" w:lineRule="exact"/>
        <w:rPr>
          <w:rFonts w:ascii="宋体" w:hAnsi="宋体"/>
          <w:b/>
          <w:bCs/>
          <w:color w:val="auto"/>
          <w:szCs w:val="21"/>
          <w:highlight w:val="none"/>
        </w:rPr>
      </w:pPr>
      <w:r>
        <w:rPr>
          <w:rFonts w:ascii="宋体" w:hAnsi="宋体"/>
          <w:b/>
          <w:bCs/>
          <w:color w:val="auto"/>
          <w:szCs w:val="21"/>
          <w:highlight w:val="none"/>
        </w:rPr>
        <w:t>16.</w:t>
      </w:r>
      <w:r>
        <w:rPr>
          <w:rFonts w:hint="eastAsia" w:ascii="宋体" w:hAnsi="宋体"/>
          <w:b/>
          <w:bCs/>
          <w:color w:val="auto"/>
          <w:szCs w:val="21"/>
          <w:highlight w:val="none"/>
        </w:rPr>
        <w:t>报价</w:t>
      </w:r>
    </w:p>
    <w:p w14:paraId="0430C2B2">
      <w:pPr>
        <w:adjustRightInd w:val="0"/>
        <w:snapToGrid w:val="0"/>
        <w:spacing w:line="520" w:lineRule="exact"/>
        <w:ind w:firstLine="420" w:firstLineChars="200"/>
        <w:rPr>
          <w:rFonts w:ascii="宋体" w:hAnsi="宋体"/>
          <w:color w:val="auto"/>
          <w:szCs w:val="21"/>
          <w:highlight w:val="none"/>
        </w:rPr>
      </w:pPr>
      <w:r>
        <w:rPr>
          <w:rFonts w:ascii="宋体" w:hAnsi="宋体"/>
          <w:color w:val="auto"/>
          <w:szCs w:val="21"/>
          <w:highlight w:val="none"/>
        </w:rPr>
        <w:t>16.1</w:t>
      </w:r>
      <w:r>
        <w:rPr>
          <w:rFonts w:hint="eastAsia" w:ascii="宋体" w:hAnsi="宋体"/>
          <w:color w:val="auto"/>
          <w:szCs w:val="21"/>
          <w:highlight w:val="none"/>
        </w:rPr>
        <w:t>供应商应当根据磋商文件要求和范围，以</w:t>
      </w:r>
      <w:r>
        <w:rPr>
          <w:rFonts w:hint="eastAsia" w:ascii="宋体" w:hAnsi="宋体"/>
          <w:bCs/>
          <w:color w:val="auto"/>
          <w:szCs w:val="21"/>
          <w:highlight w:val="none"/>
        </w:rPr>
        <w:t>人民币</w:t>
      </w:r>
      <w:r>
        <w:rPr>
          <w:rFonts w:hint="eastAsia" w:ascii="宋体" w:hAnsi="宋体"/>
          <w:color w:val="auto"/>
          <w:szCs w:val="21"/>
          <w:highlight w:val="none"/>
        </w:rPr>
        <w:t>报价，以元为单位，保留小数点后两位。</w:t>
      </w:r>
    </w:p>
    <w:p w14:paraId="69D4A61C">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16.2</w:t>
      </w:r>
      <w:r>
        <w:rPr>
          <w:rFonts w:hint="eastAsia" w:ascii="宋体" w:hAnsi="宋体"/>
          <w:color w:val="auto"/>
          <w:highlight w:val="none"/>
        </w:rPr>
        <w:t>供应商应按第五章</w:t>
      </w:r>
      <w:r>
        <w:rPr>
          <w:rFonts w:ascii="宋体" w:hAnsi="宋体"/>
          <w:color w:val="auto"/>
          <w:highlight w:val="none"/>
        </w:rPr>
        <w:t xml:space="preserve"> </w:t>
      </w:r>
      <w:r>
        <w:rPr>
          <w:rFonts w:hint="eastAsia" w:ascii="宋体" w:hAnsi="宋体"/>
          <w:color w:val="auto"/>
          <w:highlight w:val="none"/>
        </w:rPr>
        <w:t>响应文件组成格式填写。</w:t>
      </w:r>
    </w:p>
    <w:p w14:paraId="55A4FFC8">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16.3</w:t>
      </w:r>
      <w:r>
        <w:rPr>
          <w:rFonts w:hint="eastAsia" w:ascii="宋体" w:hAnsi="宋体"/>
          <w:color w:val="auto"/>
          <w:highlight w:val="none"/>
        </w:rPr>
        <w:t>响应文件中标明的价格在合同执行过程中是固定不变的，不得以任何理由予以变更。以可变动价格提交的报价将被认为是非实质响应而被拒绝。</w:t>
      </w:r>
    </w:p>
    <w:p w14:paraId="4B280257">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16.4</w:t>
      </w:r>
      <w:r>
        <w:rPr>
          <w:rFonts w:hint="eastAsia" w:ascii="宋体" w:hAnsi="宋体" w:cs="宋体"/>
          <w:color w:val="auto"/>
          <w:highlight w:val="none"/>
          <w:lang w:val="zh-CN"/>
        </w:rPr>
        <w:t>供应商</w:t>
      </w:r>
      <w:r>
        <w:rPr>
          <w:rFonts w:hint="eastAsia" w:ascii="宋体" w:hAnsi="宋体"/>
          <w:color w:val="auto"/>
          <w:highlight w:val="none"/>
        </w:rPr>
        <w:t>的报价不得超过采购项目预算，采购项目预算或其计算方法见</w:t>
      </w:r>
      <w:r>
        <w:rPr>
          <w:rFonts w:hint="eastAsia" w:ascii="宋体" w:hAnsi="宋体"/>
          <w:b/>
          <w:color w:val="auto"/>
          <w:highlight w:val="none"/>
        </w:rPr>
        <w:t>磋商须知前附表</w:t>
      </w:r>
      <w:r>
        <w:rPr>
          <w:rFonts w:hint="eastAsia" w:ascii="宋体" w:hAnsi="宋体"/>
          <w:color w:val="auto"/>
          <w:highlight w:val="none"/>
        </w:rPr>
        <w:t>。</w:t>
      </w:r>
    </w:p>
    <w:p w14:paraId="328DF96E">
      <w:pPr>
        <w:adjustRightInd w:val="0"/>
        <w:snapToGrid w:val="0"/>
        <w:spacing w:line="520" w:lineRule="exact"/>
        <w:rPr>
          <w:rFonts w:ascii="宋体" w:hAnsi="宋体"/>
          <w:b/>
          <w:color w:val="auto"/>
          <w:highlight w:val="none"/>
        </w:rPr>
      </w:pPr>
      <w:r>
        <w:rPr>
          <w:rFonts w:ascii="宋体" w:hAnsi="宋体"/>
          <w:b/>
          <w:color w:val="auto"/>
          <w:highlight w:val="none"/>
        </w:rPr>
        <w:t>17.</w:t>
      </w:r>
      <w:r>
        <w:rPr>
          <w:rFonts w:hint="eastAsia" w:ascii="宋体" w:hAnsi="宋体"/>
          <w:b/>
          <w:color w:val="auto"/>
          <w:highlight w:val="none"/>
        </w:rPr>
        <w:t>供应商符合磋商文件规定的证明文件</w:t>
      </w:r>
    </w:p>
    <w:p w14:paraId="3E5E5A62">
      <w:pPr>
        <w:adjustRightInd w:val="0"/>
        <w:snapToGrid w:val="0"/>
        <w:spacing w:line="520" w:lineRule="exact"/>
        <w:ind w:firstLine="420" w:firstLineChars="200"/>
        <w:jc w:val="left"/>
        <w:rPr>
          <w:rFonts w:ascii="宋体" w:hAnsi="宋体"/>
          <w:color w:val="auto"/>
          <w:highlight w:val="none"/>
        </w:rPr>
      </w:pPr>
      <w:r>
        <w:rPr>
          <w:rFonts w:ascii="宋体" w:hAnsi="宋体"/>
          <w:color w:val="auto"/>
          <w:highlight w:val="none"/>
        </w:rPr>
        <w:t>17.1</w:t>
      </w:r>
      <w:r>
        <w:rPr>
          <w:rFonts w:hint="eastAsia" w:ascii="宋体" w:hAnsi="宋体"/>
          <w:color w:val="auto"/>
          <w:highlight w:val="none"/>
        </w:rPr>
        <w:t>供应商应提交满足本章第</w:t>
      </w:r>
      <w:r>
        <w:rPr>
          <w:rFonts w:ascii="宋体" w:hAnsi="宋体"/>
          <w:color w:val="auto"/>
          <w:highlight w:val="none"/>
        </w:rPr>
        <w:t>3.1</w:t>
      </w:r>
      <w:r>
        <w:rPr>
          <w:rFonts w:hint="eastAsia" w:ascii="宋体" w:hAnsi="宋体"/>
          <w:color w:val="auto"/>
          <w:highlight w:val="none"/>
        </w:rPr>
        <w:t>款规定的资格条件要求的证明文件</w:t>
      </w:r>
      <w:r>
        <w:rPr>
          <w:rFonts w:ascii="宋体" w:hAnsi="宋体"/>
          <w:color w:val="auto"/>
          <w:highlight w:val="none"/>
        </w:rPr>
        <w:t>,</w:t>
      </w:r>
      <w:r>
        <w:rPr>
          <w:rFonts w:hint="eastAsia" w:ascii="宋体" w:hAnsi="宋体"/>
          <w:color w:val="auto"/>
          <w:highlight w:val="none"/>
        </w:rPr>
        <w:t>该证明文件作为响应文件的一部分。</w:t>
      </w:r>
    </w:p>
    <w:p w14:paraId="274D5BDD">
      <w:pPr>
        <w:adjustRightInd w:val="0"/>
        <w:snapToGrid w:val="0"/>
        <w:spacing w:line="520" w:lineRule="exact"/>
        <w:ind w:firstLine="420" w:firstLineChars="200"/>
        <w:jc w:val="left"/>
        <w:rPr>
          <w:rFonts w:ascii="宋体" w:hAnsi="宋体"/>
          <w:color w:val="auto"/>
          <w:highlight w:val="none"/>
        </w:rPr>
      </w:pPr>
      <w:r>
        <w:rPr>
          <w:rFonts w:ascii="宋体" w:hAnsi="宋体"/>
          <w:color w:val="auto"/>
          <w:highlight w:val="none"/>
        </w:rPr>
        <w:t>17.2</w:t>
      </w:r>
      <w:r>
        <w:rPr>
          <w:rFonts w:hint="eastAsia" w:ascii="宋体" w:hAnsi="宋体"/>
          <w:color w:val="auto"/>
          <w:highlight w:val="none"/>
        </w:rPr>
        <w:t>如果供应商为联合体，则应提交联合体各方资格证明文件、联合体协议。否则，在评审时将其视为无效响应。</w:t>
      </w:r>
    </w:p>
    <w:p w14:paraId="02298A0E">
      <w:pPr>
        <w:adjustRightInd w:val="0"/>
        <w:snapToGrid w:val="0"/>
        <w:spacing w:before="156" w:beforeLines="50" w:line="520" w:lineRule="exact"/>
        <w:ind w:firstLine="420" w:firstLineChars="200"/>
        <w:jc w:val="left"/>
        <w:rPr>
          <w:rFonts w:ascii="宋体" w:hAnsi="宋体"/>
          <w:color w:val="auto"/>
          <w:szCs w:val="21"/>
          <w:highlight w:val="none"/>
        </w:rPr>
      </w:pPr>
      <w:r>
        <w:rPr>
          <w:rFonts w:ascii="宋体" w:hAnsi="宋体"/>
          <w:color w:val="auto"/>
          <w:szCs w:val="21"/>
          <w:highlight w:val="none"/>
        </w:rPr>
        <w:t xml:space="preserve">17.3 </w:t>
      </w:r>
      <w:r>
        <w:rPr>
          <w:rFonts w:hint="eastAsia" w:ascii="宋体" w:hAnsi="宋体"/>
          <w:color w:val="auto"/>
          <w:szCs w:val="21"/>
          <w:highlight w:val="none"/>
        </w:rPr>
        <w:t>除</w:t>
      </w:r>
      <w:r>
        <w:rPr>
          <w:rFonts w:hint="eastAsia" w:ascii="宋体" w:hAnsi="宋体"/>
          <w:b/>
          <w:color w:val="auto"/>
          <w:szCs w:val="21"/>
          <w:highlight w:val="none"/>
        </w:rPr>
        <w:t>磋商须知前附表</w:t>
      </w:r>
      <w:r>
        <w:rPr>
          <w:rFonts w:hint="eastAsia" w:ascii="宋体" w:hAnsi="宋体"/>
          <w:color w:val="auto"/>
          <w:szCs w:val="21"/>
          <w:highlight w:val="none"/>
        </w:rPr>
        <w:t>另有规定外，供应商提供的货物及服务不是供应商制造或拥有的，则必须提供经销、或代理采购货物、或采购货物提供售后服务的证明文件。</w:t>
      </w:r>
    </w:p>
    <w:p w14:paraId="0176545D">
      <w:pPr>
        <w:adjustRightInd w:val="0"/>
        <w:snapToGrid w:val="0"/>
        <w:spacing w:before="156" w:beforeLines="50" w:line="520" w:lineRule="exact"/>
        <w:jc w:val="left"/>
        <w:rPr>
          <w:rFonts w:ascii="宋体" w:hAnsi="宋体"/>
          <w:b/>
          <w:color w:val="auto"/>
          <w:szCs w:val="21"/>
          <w:highlight w:val="none"/>
        </w:rPr>
      </w:pPr>
      <w:r>
        <w:rPr>
          <w:rFonts w:ascii="宋体" w:hAnsi="宋体"/>
          <w:b/>
          <w:color w:val="auto"/>
          <w:szCs w:val="21"/>
          <w:highlight w:val="none"/>
        </w:rPr>
        <w:t>18</w:t>
      </w:r>
      <w:r>
        <w:rPr>
          <w:rFonts w:hint="eastAsia" w:ascii="宋体" w:hAnsi="宋体"/>
          <w:b/>
          <w:color w:val="auto"/>
          <w:szCs w:val="21"/>
          <w:highlight w:val="none"/>
        </w:rPr>
        <w:t>．样品提供</w:t>
      </w:r>
    </w:p>
    <w:p w14:paraId="29BAD92A">
      <w:pPr>
        <w:adjustRightInd w:val="0"/>
        <w:snapToGrid w:val="0"/>
        <w:spacing w:before="156" w:beforeLines="50" w:line="520" w:lineRule="exact"/>
        <w:ind w:firstLine="420" w:firstLineChars="200"/>
        <w:jc w:val="left"/>
        <w:rPr>
          <w:rFonts w:ascii="宋体" w:hAnsi="宋体"/>
          <w:color w:val="auto"/>
          <w:szCs w:val="21"/>
          <w:highlight w:val="none"/>
        </w:rPr>
      </w:pPr>
      <w:r>
        <w:rPr>
          <w:rFonts w:ascii="宋体" w:hAnsi="宋体"/>
          <w:color w:val="auto"/>
          <w:szCs w:val="21"/>
          <w:highlight w:val="none"/>
        </w:rPr>
        <w:t xml:space="preserve">18.1 </w:t>
      </w:r>
      <w:r>
        <w:rPr>
          <w:rFonts w:hint="eastAsia" w:ascii="宋体" w:hAnsi="宋体"/>
          <w:b/>
          <w:color w:val="auto"/>
          <w:highlight w:val="none"/>
        </w:rPr>
        <w:t>磋商须知前附表</w:t>
      </w:r>
      <w:r>
        <w:rPr>
          <w:rFonts w:hint="eastAsia" w:ascii="宋体" w:hAnsi="宋体"/>
          <w:color w:val="auto"/>
          <w:szCs w:val="21"/>
          <w:highlight w:val="none"/>
        </w:rPr>
        <w:t>规定</w:t>
      </w:r>
      <w:r>
        <w:rPr>
          <w:rFonts w:hint="eastAsia" w:ascii="宋体" w:hAnsi="宋体"/>
          <w:bCs/>
          <w:color w:val="auto"/>
          <w:highlight w:val="none"/>
        </w:rPr>
        <w:t>供应商</w:t>
      </w:r>
      <w:r>
        <w:rPr>
          <w:rFonts w:hint="eastAsia" w:ascii="宋体" w:hAnsi="宋体"/>
          <w:color w:val="auto"/>
          <w:szCs w:val="21"/>
          <w:highlight w:val="none"/>
        </w:rPr>
        <w:t>在</w:t>
      </w:r>
      <w:r>
        <w:rPr>
          <w:rFonts w:hint="eastAsia" w:ascii="宋体" w:hAnsi="宋体"/>
          <w:color w:val="auto"/>
          <w:highlight w:val="none"/>
        </w:rPr>
        <w:t>磋商</w:t>
      </w:r>
      <w:r>
        <w:rPr>
          <w:rFonts w:hint="eastAsia" w:ascii="宋体" w:hAnsi="宋体"/>
          <w:color w:val="auto"/>
          <w:szCs w:val="21"/>
          <w:highlight w:val="none"/>
        </w:rPr>
        <w:t>时提供样品的，</w:t>
      </w:r>
      <w:r>
        <w:rPr>
          <w:rFonts w:hint="eastAsia" w:ascii="宋体" w:hAnsi="宋体"/>
          <w:bCs/>
          <w:color w:val="auto"/>
          <w:highlight w:val="none"/>
        </w:rPr>
        <w:t>供应商</w:t>
      </w:r>
      <w:r>
        <w:rPr>
          <w:rFonts w:hint="eastAsia" w:ascii="宋体" w:hAnsi="宋体"/>
          <w:color w:val="auto"/>
          <w:szCs w:val="21"/>
          <w:highlight w:val="none"/>
        </w:rPr>
        <w:t>有以下情形之一的，在评审时将其视为无效响应。</w:t>
      </w:r>
    </w:p>
    <w:p w14:paraId="0B46F4B6">
      <w:pPr>
        <w:adjustRightInd w:val="0"/>
        <w:snapToGrid w:val="0"/>
        <w:spacing w:before="156" w:beforeLines="50" w:line="52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）未在</w:t>
      </w:r>
      <w:r>
        <w:rPr>
          <w:rFonts w:hint="eastAsia" w:ascii="宋体" w:hAnsi="宋体"/>
          <w:b/>
          <w:color w:val="auto"/>
          <w:highlight w:val="none"/>
        </w:rPr>
        <w:t>磋商须知前附表</w:t>
      </w:r>
      <w:r>
        <w:rPr>
          <w:rFonts w:hint="eastAsia" w:ascii="宋体" w:hAnsi="宋体"/>
          <w:color w:val="auto"/>
          <w:szCs w:val="21"/>
          <w:highlight w:val="none"/>
        </w:rPr>
        <w:t>规定的提交时间、地点提交的；</w:t>
      </w:r>
    </w:p>
    <w:p w14:paraId="1BEEC3A8">
      <w:pPr>
        <w:adjustRightInd w:val="0"/>
        <w:snapToGrid w:val="0"/>
        <w:spacing w:before="156" w:beforeLines="50" w:line="52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w:t>
      </w:r>
      <w:r>
        <w:rPr>
          <w:rFonts w:hint="eastAsia" w:ascii="宋体" w:hAnsi="宋体"/>
          <w:bCs/>
          <w:color w:val="auto"/>
          <w:highlight w:val="none"/>
        </w:rPr>
        <w:t>供应商</w:t>
      </w:r>
      <w:r>
        <w:rPr>
          <w:rFonts w:hint="eastAsia" w:ascii="宋体" w:hAnsi="宋体"/>
          <w:color w:val="auto"/>
          <w:szCs w:val="21"/>
          <w:highlight w:val="none"/>
        </w:rPr>
        <w:t>提供的样品与磋商文件中要求提供样品的型号、规格不一致的。</w:t>
      </w:r>
    </w:p>
    <w:p w14:paraId="367743DA">
      <w:pPr>
        <w:adjustRightInd w:val="0"/>
        <w:snapToGrid w:val="0"/>
        <w:spacing w:line="520" w:lineRule="exact"/>
        <w:rPr>
          <w:rFonts w:ascii="宋体" w:hAnsi="宋体"/>
          <w:b/>
          <w:bCs/>
          <w:color w:val="auto"/>
          <w:szCs w:val="21"/>
          <w:highlight w:val="none"/>
        </w:rPr>
      </w:pPr>
      <w:r>
        <w:rPr>
          <w:rFonts w:ascii="宋体" w:hAnsi="宋体"/>
          <w:b/>
          <w:bCs/>
          <w:color w:val="auto"/>
          <w:szCs w:val="21"/>
          <w:highlight w:val="none"/>
        </w:rPr>
        <w:t>19.</w:t>
      </w:r>
      <w:r>
        <w:rPr>
          <w:rFonts w:ascii="宋体" w:hAnsi="宋体"/>
          <w:color w:val="auto"/>
          <w:highlight w:val="none"/>
        </w:rPr>
        <w:t xml:space="preserve"> </w:t>
      </w:r>
      <w:r>
        <w:rPr>
          <w:rFonts w:hint="eastAsia" w:ascii="宋体" w:hAnsi="宋体"/>
          <w:b/>
          <w:bCs/>
          <w:color w:val="auto"/>
          <w:szCs w:val="21"/>
          <w:highlight w:val="none"/>
        </w:rPr>
        <w:t>磋商保证金</w:t>
      </w:r>
    </w:p>
    <w:p w14:paraId="5484145E">
      <w:pPr>
        <w:adjustRightInd w:val="0"/>
        <w:snapToGrid w:val="0"/>
        <w:spacing w:line="520" w:lineRule="exact"/>
        <w:ind w:firstLine="420" w:firstLineChars="200"/>
        <w:rPr>
          <w:rFonts w:ascii="宋体" w:hAnsi="宋体"/>
          <w:bCs/>
          <w:color w:val="auto"/>
          <w:highlight w:val="none"/>
        </w:rPr>
      </w:pPr>
      <w:r>
        <w:rPr>
          <w:rFonts w:ascii="宋体" w:hAnsi="宋体"/>
          <w:color w:val="auto"/>
          <w:highlight w:val="none"/>
        </w:rPr>
        <w:t>19.1</w:t>
      </w:r>
      <w:r>
        <w:rPr>
          <w:rFonts w:hint="eastAsia" w:ascii="宋体" w:hAnsi="宋体"/>
          <w:b/>
          <w:color w:val="auto"/>
          <w:highlight w:val="none"/>
        </w:rPr>
        <w:t>磋商须知前附表</w:t>
      </w:r>
      <w:r>
        <w:rPr>
          <w:rFonts w:hint="eastAsia" w:ascii="宋体" w:hAnsi="宋体"/>
          <w:color w:val="auto"/>
          <w:highlight w:val="none"/>
        </w:rPr>
        <w:t>规定交纳磋商</w:t>
      </w:r>
      <w:r>
        <w:rPr>
          <w:rFonts w:hint="eastAsia" w:ascii="宋体" w:hAnsi="宋体"/>
          <w:bCs/>
          <w:color w:val="auto"/>
          <w:highlight w:val="none"/>
        </w:rPr>
        <w:t>保证金的</w:t>
      </w:r>
      <w:r>
        <w:rPr>
          <w:rFonts w:hint="eastAsia" w:ascii="宋体" w:hAnsi="宋体"/>
          <w:color w:val="auto"/>
          <w:highlight w:val="none"/>
        </w:rPr>
        <w:t>，应按</w:t>
      </w:r>
      <w:r>
        <w:rPr>
          <w:rFonts w:hint="eastAsia" w:ascii="宋体" w:hAnsi="宋体"/>
          <w:b/>
          <w:color w:val="auto"/>
          <w:highlight w:val="none"/>
        </w:rPr>
        <w:t>磋商须知前附表</w:t>
      </w:r>
      <w:r>
        <w:rPr>
          <w:rFonts w:hint="eastAsia" w:ascii="宋体" w:hAnsi="宋体"/>
          <w:color w:val="auto"/>
          <w:highlight w:val="none"/>
        </w:rPr>
        <w:t>规定的磋商</w:t>
      </w:r>
      <w:r>
        <w:rPr>
          <w:rFonts w:hint="eastAsia" w:ascii="宋体" w:hAnsi="宋体"/>
          <w:bCs/>
          <w:color w:val="auto"/>
          <w:highlight w:val="none"/>
        </w:rPr>
        <w:t>保证金形式交纳，不得以现金方式交纳</w:t>
      </w:r>
      <w:r>
        <w:rPr>
          <w:rFonts w:hint="eastAsia" w:ascii="宋体" w:hAnsi="宋体"/>
          <w:color w:val="auto"/>
          <w:highlight w:val="none"/>
        </w:rPr>
        <w:t>，在</w:t>
      </w:r>
      <w:r>
        <w:rPr>
          <w:rFonts w:hint="eastAsia" w:ascii="宋体" w:hAnsi="宋体" w:cs="宋体"/>
          <w:color w:val="auto"/>
          <w:highlight w:val="none"/>
        </w:rPr>
        <w:t>提交首次响应文件截止时间</w:t>
      </w:r>
      <w:r>
        <w:rPr>
          <w:rFonts w:hint="eastAsia" w:ascii="宋体" w:hAnsi="宋体"/>
          <w:color w:val="auto"/>
          <w:highlight w:val="none"/>
        </w:rPr>
        <w:t>前，</w:t>
      </w:r>
      <w:r>
        <w:rPr>
          <w:rFonts w:hint="eastAsia" w:ascii="宋体" w:hAnsi="宋体"/>
          <w:bCs/>
          <w:color w:val="auto"/>
          <w:highlight w:val="none"/>
        </w:rPr>
        <w:t>向采购代理机构交纳不超过</w:t>
      </w:r>
      <w:r>
        <w:rPr>
          <w:rFonts w:hint="eastAsia" w:ascii="宋体" w:hAnsi="宋体" w:cs="宋体"/>
          <w:color w:val="auto"/>
          <w:highlight w:val="none"/>
          <w:lang w:val="zh-CN"/>
        </w:rPr>
        <w:t>采购项目预算</w:t>
      </w:r>
      <w:r>
        <w:rPr>
          <w:rFonts w:ascii="宋体" w:hAnsi="宋体" w:cs="宋体"/>
          <w:color w:val="auto"/>
          <w:highlight w:val="none"/>
          <w:lang w:val="zh-CN"/>
        </w:rPr>
        <w:t>2</w:t>
      </w:r>
      <w:r>
        <w:rPr>
          <w:rFonts w:hint="eastAsia" w:ascii="宋体" w:hAnsi="宋体" w:cs="宋体"/>
          <w:color w:val="auto"/>
          <w:highlight w:val="none"/>
          <w:lang w:val="zh-CN"/>
        </w:rPr>
        <w:t>﹪</w:t>
      </w:r>
      <w:r>
        <w:rPr>
          <w:rFonts w:hint="eastAsia" w:ascii="宋体" w:hAnsi="宋体"/>
          <w:bCs/>
          <w:color w:val="auto"/>
          <w:highlight w:val="none"/>
        </w:rPr>
        <w:t>的磋商保证金</w:t>
      </w:r>
      <w:r>
        <w:rPr>
          <w:rFonts w:ascii="宋体" w:hAnsi="宋体"/>
          <w:bCs/>
          <w:color w:val="auto"/>
          <w:highlight w:val="none"/>
        </w:rPr>
        <w:t>(</w:t>
      </w:r>
      <w:r>
        <w:rPr>
          <w:rFonts w:hint="eastAsia" w:ascii="宋体" w:hAnsi="宋体"/>
          <w:bCs/>
          <w:color w:val="auto"/>
          <w:highlight w:val="none"/>
        </w:rPr>
        <w:t>数额采用四舍五入，计算至元</w:t>
      </w:r>
      <w:r>
        <w:rPr>
          <w:rFonts w:ascii="宋体" w:hAnsi="宋体"/>
          <w:bCs/>
          <w:color w:val="auto"/>
          <w:highlight w:val="none"/>
        </w:rPr>
        <w:t>)</w:t>
      </w:r>
      <w:r>
        <w:rPr>
          <w:rFonts w:hint="eastAsia" w:ascii="宋体" w:hAnsi="宋体"/>
          <w:color w:val="auto"/>
          <w:highlight w:val="none"/>
        </w:rPr>
        <w:t>。磋商</w:t>
      </w:r>
      <w:r>
        <w:rPr>
          <w:rFonts w:hint="eastAsia" w:ascii="宋体" w:hAnsi="宋体"/>
          <w:bCs/>
          <w:color w:val="auto"/>
          <w:highlight w:val="none"/>
        </w:rPr>
        <w:t>保证金有效期应当与</w:t>
      </w:r>
      <w:r>
        <w:rPr>
          <w:rFonts w:hint="eastAsia" w:ascii="宋体" w:hAnsi="宋体"/>
          <w:color w:val="auto"/>
          <w:highlight w:val="none"/>
        </w:rPr>
        <w:t>本章第</w:t>
      </w:r>
      <w:r>
        <w:rPr>
          <w:rFonts w:ascii="宋体" w:hAnsi="宋体"/>
          <w:color w:val="auto"/>
          <w:highlight w:val="none"/>
        </w:rPr>
        <w:t>20.1</w:t>
      </w:r>
      <w:r>
        <w:rPr>
          <w:rFonts w:hint="eastAsia" w:ascii="宋体" w:hAnsi="宋体" w:cs="宋体"/>
          <w:color w:val="auto"/>
          <w:highlight w:val="none"/>
          <w:lang w:val="zh-CN"/>
        </w:rPr>
        <w:t>款</w:t>
      </w:r>
      <w:r>
        <w:rPr>
          <w:rFonts w:hint="eastAsia" w:ascii="宋体" w:hAnsi="宋体"/>
          <w:color w:val="auto"/>
          <w:highlight w:val="none"/>
        </w:rPr>
        <w:t>规定的</w:t>
      </w:r>
      <w:r>
        <w:rPr>
          <w:rFonts w:hint="eastAsia" w:ascii="宋体" w:hAnsi="宋体"/>
          <w:bCs/>
          <w:color w:val="auto"/>
          <w:highlight w:val="none"/>
        </w:rPr>
        <w:t>响应文件有效期一致。</w:t>
      </w:r>
    </w:p>
    <w:p w14:paraId="2B698174">
      <w:pPr>
        <w:adjustRightInd w:val="0"/>
        <w:snapToGrid w:val="0"/>
        <w:spacing w:line="520" w:lineRule="exact"/>
        <w:ind w:firstLine="420" w:firstLineChars="200"/>
        <w:rPr>
          <w:rFonts w:ascii="宋体" w:hAnsi="宋体"/>
          <w:b/>
          <w:color w:val="auto"/>
          <w:szCs w:val="21"/>
          <w:highlight w:val="none"/>
        </w:rPr>
      </w:pPr>
      <w:r>
        <w:rPr>
          <w:rFonts w:ascii="宋体" w:hAnsi="宋体"/>
          <w:color w:val="auto"/>
          <w:szCs w:val="21"/>
          <w:highlight w:val="none"/>
        </w:rPr>
        <w:t>19.2</w:t>
      </w:r>
      <w:r>
        <w:rPr>
          <w:rFonts w:hint="eastAsia" w:ascii="宋体" w:hAnsi="宋体" w:cs="宋体"/>
          <w:color w:val="auto"/>
          <w:kern w:val="0"/>
          <w:szCs w:val="21"/>
          <w:highlight w:val="none"/>
          <w:lang w:val="zh-CN"/>
        </w:rPr>
        <w:t>供应商为联合体的，可以由联合体中的一方或者共同交纳磋商保证金，其交纳的磋商保证金，对联合体各方均具有约束力。</w:t>
      </w:r>
    </w:p>
    <w:p w14:paraId="00E8B331">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19.3</w:t>
      </w:r>
      <w:r>
        <w:rPr>
          <w:rFonts w:hint="eastAsia" w:ascii="宋体" w:hAnsi="宋体"/>
          <w:color w:val="auto"/>
          <w:highlight w:val="none"/>
        </w:rPr>
        <w:t>供应商未按照磋商文件要求提交磋商保证金的，响应无效。</w:t>
      </w:r>
    </w:p>
    <w:p w14:paraId="56A813F5">
      <w:pPr>
        <w:tabs>
          <w:tab w:val="left" w:pos="6300"/>
        </w:tabs>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19.4</w:t>
      </w:r>
      <w:r>
        <w:rPr>
          <w:rFonts w:hint="eastAsia" w:ascii="宋体" w:hAnsi="宋体"/>
          <w:color w:val="auto"/>
          <w:highlight w:val="none"/>
        </w:rPr>
        <w:t>采购代理机构在成交通知书发出后</w:t>
      </w:r>
      <w:r>
        <w:rPr>
          <w:rFonts w:ascii="宋体" w:hAnsi="宋体"/>
          <w:color w:val="auto"/>
          <w:highlight w:val="none"/>
        </w:rPr>
        <w:t>5</w:t>
      </w:r>
      <w:r>
        <w:rPr>
          <w:rFonts w:hint="eastAsia" w:ascii="宋体" w:hAnsi="宋体"/>
          <w:color w:val="auto"/>
          <w:highlight w:val="none"/>
        </w:rPr>
        <w:t>个工作日内退还未成交供应商的磋商保证金；在采购合同签定后</w:t>
      </w:r>
      <w:r>
        <w:rPr>
          <w:rFonts w:ascii="宋体" w:hAnsi="宋体"/>
          <w:color w:val="auto"/>
          <w:highlight w:val="none"/>
        </w:rPr>
        <w:t>5</w:t>
      </w:r>
      <w:r>
        <w:rPr>
          <w:rFonts w:hint="eastAsia" w:ascii="宋体" w:hAnsi="宋体"/>
          <w:color w:val="auto"/>
          <w:highlight w:val="none"/>
        </w:rPr>
        <w:t>个工作日内退还成交供应商的磋商保证金，但因供应商自身原因导致无法及时退还的除外。</w:t>
      </w:r>
    </w:p>
    <w:p w14:paraId="1FF01BF1">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 xml:space="preserve">19.5 </w:t>
      </w:r>
      <w:r>
        <w:rPr>
          <w:rFonts w:hint="eastAsia" w:ascii="宋体" w:hAnsi="宋体"/>
          <w:color w:val="auto"/>
          <w:highlight w:val="none"/>
        </w:rPr>
        <w:t>有下列情形之一的，磋商保证金不予退还，并上缴本级财政国库：</w:t>
      </w:r>
    </w:p>
    <w:p w14:paraId="6142CFC0">
      <w:pPr>
        <w:widowControl/>
        <w:adjustRightInd w:val="0"/>
        <w:snapToGrid w:val="0"/>
        <w:spacing w:line="5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1</w:t>
      </w:r>
      <w:r>
        <w:rPr>
          <w:rFonts w:hint="eastAsia" w:ascii="宋体" w:hAnsi="宋体" w:cs="宋体"/>
          <w:color w:val="auto"/>
          <w:kern w:val="0"/>
          <w:szCs w:val="21"/>
          <w:highlight w:val="none"/>
        </w:rPr>
        <w:t>）供应商在提交首次响应文件截止时间后撤回响应文件的；</w:t>
      </w:r>
    </w:p>
    <w:p w14:paraId="1CDD8B76">
      <w:pPr>
        <w:widowControl/>
        <w:adjustRightInd w:val="0"/>
        <w:snapToGrid w:val="0"/>
        <w:spacing w:line="520" w:lineRule="exact"/>
        <w:ind w:firstLine="420" w:firstLineChars="200"/>
        <w:jc w:val="left"/>
        <w:rPr>
          <w:rFonts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2</w:t>
      </w:r>
      <w:r>
        <w:rPr>
          <w:rFonts w:hint="eastAsia" w:ascii="宋体" w:hAnsi="宋体"/>
          <w:color w:val="auto"/>
          <w:kern w:val="0"/>
          <w:highlight w:val="none"/>
        </w:rPr>
        <w:t>）供应商在响应文件中提供虚假资料的；</w:t>
      </w:r>
    </w:p>
    <w:p w14:paraId="1D5735D5">
      <w:pPr>
        <w:widowControl/>
        <w:adjustRightInd w:val="0"/>
        <w:snapToGrid w:val="0"/>
        <w:spacing w:line="520" w:lineRule="exact"/>
        <w:ind w:firstLine="420" w:firstLineChars="200"/>
        <w:jc w:val="left"/>
        <w:rPr>
          <w:rFonts w:ascii="宋体" w:hAnsi="宋体" w:cs="宋体"/>
          <w:color w:val="auto"/>
          <w:kern w:val="0"/>
          <w:szCs w:val="21"/>
          <w:highlight w:val="none"/>
        </w:rPr>
      </w:pPr>
      <w:r>
        <w:rPr>
          <w:rFonts w:hint="eastAsia" w:ascii="宋体" w:hAnsi="宋体"/>
          <w:color w:val="auto"/>
          <w:kern w:val="0"/>
          <w:highlight w:val="none"/>
        </w:rPr>
        <w:t>（</w:t>
      </w:r>
      <w:r>
        <w:rPr>
          <w:rFonts w:ascii="宋体" w:hAnsi="宋体"/>
          <w:color w:val="auto"/>
          <w:kern w:val="0"/>
          <w:highlight w:val="none"/>
        </w:rPr>
        <w:t>3</w:t>
      </w:r>
      <w:r>
        <w:rPr>
          <w:rFonts w:hint="eastAsia" w:ascii="宋体" w:hAnsi="宋体"/>
          <w:color w:val="auto"/>
          <w:kern w:val="0"/>
          <w:highlight w:val="none"/>
        </w:rPr>
        <w:t>）</w:t>
      </w:r>
      <w:r>
        <w:rPr>
          <w:rFonts w:hint="eastAsia" w:ascii="宋体" w:hAnsi="宋体"/>
          <w:color w:val="auto"/>
          <w:highlight w:val="none"/>
        </w:rPr>
        <w:t>确定成交结果后，无正当理由放弃成交资格的；</w:t>
      </w:r>
    </w:p>
    <w:p w14:paraId="3C98278D">
      <w:pPr>
        <w:widowControl/>
        <w:adjustRightInd w:val="0"/>
        <w:snapToGrid w:val="0"/>
        <w:spacing w:line="520" w:lineRule="exact"/>
        <w:ind w:firstLine="525" w:firstLineChars="250"/>
        <w:jc w:val="left"/>
        <w:rPr>
          <w:rFonts w:ascii="宋体" w:hAnsi="宋体" w:cs="宋体"/>
          <w:color w:val="auto"/>
          <w:kern w:val="0"/>
          <w:szCs w:val="21"/>
          <w:highlight w:val="none"/>
        </w:rPr>
      </w:pPr>
      <w:r>
        <w:rPr>
          <w:rFonts w:ascii="宋体" w:hAnsi="宋体" w:cs="宋体"/>
          <w:color w:val="auto"/>
          <w:kern w:val="0"/>
          <w:szCs w:val="21"/>
          <w:highlight w:val="none"/>
        </w:rPr>
        <w:t xml:space="preserve">(4) </w:t>
      </w:r>
      <w:r>
        <w:rPr>
          <w:rFonts w:hint="eastAsia" w:ascii="宋体" w:hAnsi="宋体" w:cs="宋体"/>
          <w:color w:val="auto"/>
          <w:kern w:val="0"/>
          <w:szCs w:val="21"/>
          <w:highlight w:val="none"/>
        </w:rPr>
        <w:t>除因不可抗力或磋商文件认可的情形以外，成交供应商不与采购人签订合同的；</w:t>
      </w:r>
    </w:p>
    <w:p w14:paraId="7A383486">
      <w:pPr>
        <w:widowControl/>
        <w:adjustRightInd w:val="0"/>
        <w:snapToGrid w:val="0"/>
        <w:spacing w:line="5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5</w:t>
      </w:r>
      <w:r>
        <w:rPr>
          <w:rFonts w:hint="eastAsia" w:ascii="宋体" w:hAnsi="宋体" w:cs="宋体"/>
          <w:color w:val="auto"/>
          <w:kern w:val="0"/>
          <w:szCs w:val="21"/>
          <w:highlight w:val="none"/>
        </w:rPr>
        <w:t>）供应商与采购人、其他供应商或者采购代理机构恶意串通的；</w:t>
      </w:r>
    </w:p>
    <w:p w14:paraId="0AF4F19D">
      <w:pPr>
        <w:widowControl/>
        <w:adjustRightInd w:val="0"/>
        <w:snapToGrid w:val="0"/>
        <w:spacing w:line="5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6</w:t>
      </w:r>
      <w:r>
        <w:rPr>
          <w:rFonts w:hint="eastAsia" w:ascii="宋体" w:hAnsi="宋体" w:cs="宋体"/>
          <w:color w:val="auto"/>
          <w:kern w:val="0"/>
          <w:szCs w:val="21"/>
          <w:highlight w:val="none"/>
        </w:rPr>
        <w:t>）磋商文件规定的其他情形。</w:t>
      </w:r>
    </w:p>
    <w:p w14:paraId="1D92D9B5">
      <w:pPr>
        <w:adjustRightInd w:val="0"/>
        <w:snapToGrid w:val="0"/>
        <w:spacing w:line="520" w:lineRule="exact"/>
        <w:rPr>
          <w:rFonts w:ascii="宋体" w:hAnsi="宋体"/>
          <w:b/>
          <w:bCs/>
          <w:color w:val="auto"/>
          <w:szCs w:val="21"/>
          <w:highlight w:val="none"/>
        </w:rPr>
      </w:pPr>
      <w:r>
        <w:rPr>
          <w:rFonts w:ascii="宋体" w:hAnsi="宋体"/>
          <w:b/>
          <w:bCs/>
          <w:color w:val="auto"/>
          <w:szCs w:val="21"/>
          <w:highlight w:val="none"/>
        </w:rPr>
        <w:t>20.</w:t>
      </w:r>
      <w:r>
        <w:rPr>
          <w:rFonts w:ascii="宋体" w:hAnsi="宋体"/>
          <w:color w:val="auto"/>
          <w:szCs w:val="21"/>
          <w:highlight w:val="none"/>
        </w:rPr>
        <w:t xml:space="preserve"> </w:t>
      </w:r>
      <w:r>
        <w:rPr>
          <w:rFonts w:hint="eastAsia" w:ascii="宋体" w:hAnsi="宋体"/>
          <w:b/>
          <w:color w:val="auto"/>
          <w:highlight w:val="none"/>
        </w:rPr>
        <w:t>响应文件</w:t>
      </w:r>
      <w:r>
        <w:rPr>
          <w:rFonts w:hint="eastAsia" w:ascii="宋体" w:hAnsi="宋体"/>
          <w:b/>
          <w:color w:val="auto"/>
          <w:szCs w:val="21"/>
          <w:highlight w:val="none"/>
        </w:rPr>
        <w:t>有效期</w:t>
      </w:r>
    </w:p>
    <w:p w14:paraId="5A5FB2A4">
      <w:pPr>
        <w:adjustRightInd w:val="0"/>
        <w:snapToGrid w:val="0"/>
        <w:spacing w:line="520" w:lineRule="exact"/>
        <w:ind w:firstLine="420" w:firstLineChars="200"/>
        <w:jc w:val="left"/>
        <w:rPr>
          <w:rFonts w:ascii="宋体" w:hAnsi="宋体"/>
          <w:color w:val="auto"/>
          <w:highlight w:val="none"/>
        </w:rPr>
      </w:pPr>
      <w:r>
        <w:rPr>
          <w:rFonts w:ascii="宋体" w:hAnsi="宋体"/>
          <w:color w:val="auto"/>
          <w:highlight w:val="none"/>
        </w:rPr>
        <w:t>20.1</w:t>
      </w:r>
      <w:r>
        <w:rPr>
          <w:rFonts w:hint="eastAsia" w:ascii="宋体" w:hAnsi="宋体"/>
          <w:color w:val="auto"/>
          <w:highlight w:val="none"/>
        </w:rPr>
        <w:t>响应文件</w:t>
      </w:r>
      <w:r>
        <w:rPr>
          <w:rFonts w:hint="eastAsia" w:ascii="宋体" w:hAnsi="宋体"/>
          <w:color w:val="auto"/>
          <w:szCs w:val="21"/>
          <w:highlight w:val="none"/>
        </w:rPr>
        <w:t>有效期见</w:t>
      </w:r>
      <w:r>
        <w:rPr>
          <w:rFonts w:hint="eastAsia" w:ascii="宋体" w:hAnsi="宋体"/>
          <w:b/>
          <w:color w:val="auto"/>
          <w:highlight w:val="none"/>
        </w:rPr>
        <w:t>磋商须知前附表</w:t>
      </w:r>
      <w:r>
        <w:rPr>
          <w:rFonts w:hint="eastAsia" w:ascii="宋体" w:hAnsi="宋体"/>
          <w:color w:val="auto"/>
          <w:szCs w:val="21"/>
          <w:highlight w:val="none"/>
        </w:rPr>
        <w:t>，在此期间</w:t>
      </w:r>
      <w:r>
        <w:rPr>
          <w:rFonts w:hint="eastAsia" w:ascii="宋体" w:hAnsi="宋体"/>
          <w:color w:val="auto"/>
          <w:highlight w:val="none"/>
        </w:rPr>
        <w:t>响应</w:t>
      </w:r>
      <w:r>
        <w:rPr>
          <w:rFonts w:hint="eastAsia" w:ascii="宋体" w:hAnsi="宋体"/>
          <w:color w:val="auto"/>
          <w:szCs w:val="21"/>
          <w:highlight w:val="none"/>
        </w:rPr>
        <w:t>文件对供应商具有法律约束力，</w:t>
      </w:r>
      <w:r>
        <w:rPr>
          <w:rFonts w:hint="eastAsia" w:ascii="宋体" w:hAnsi="宋体" w:cs="Arial"/>
          <w:color w:val="auto"/>
          <w:highlight w:val="none"/>
        </w:rPr>
        <w:t>从</w:t>
      </w:r>
      <w:r>
        <w:rPr>
          <w:rFonts w:hint="eastAsia" w:ascii="宋体" w:hAnsi="宋体" w:cs="宋体"/>
          <w:color w:val="auto"/>
          <w:kern w:val="0"/>
          <w:szCs w:val="21"/>
          <w:highlight w:val="none"/>
        </w:rPr>
        <w:t>提交首次响应文件截止时间</w:t>
      </w:r>
      <w:r>
        <w:rPr>
          <w:rFonts w:hint="eastAsia" w:ascii="宋体" w:hAnsi="宋体"/>
          <w:color w:val="auto"/>
          <w:highlight w:val="none"/>
        </w:rPr>
        <w:t>之日</w:t>
      </w:r>
      <w:r>
        <w:rPr>
          <w:rFonts w:hint="eastAsia" w:ascii="宋体" w:hAnsi="宋体" w:cs="Arial"/>
          <w:color w:val="auto"/>
          <w:highlight w:val="none"/>
        </w:rPr>
        <w:t>起计算。</w:t>
      </w:r>
      <w:r>
        <w:rPr>
          <w:rFonts w:hint="eastAsia" w:ascii="宋体" w:hAnsi="宋体"/>
          <w:color w:val="auto"/>
          <w:highlight w:val="none"/>
        </w:rPr>
        <w:t>响应文件有效期不足的将被视为无效响应。</w:t>
      </w:r>
    </w:p>
    <w:p w14:paraId="713FCACB">
      <w:pPr>
        <w:adjustRightInd w:val="0"/>
        <w:snapToGrid w:val="0"/>
        <w:spacing w:line="520" w:lineRule="exact"/>
        <w:rPr>
          <w:rFonts w:ascii="宋体" w:hAnsi="宋体"/>
          <w:b/>
          <w:bCs/>
          <w:color w:val="auto"/>
          <w:szCs w:val="21"/>
          <w:highlight w:val="none"/>
        </w:rPr>
      </w:pPr>
      <w:r>
        <w:rPr>
          <w:rFonts w:ascii="宋体" w:hAnsi="宋体"/>
          <w:b/>
          <w:bCs/>
          <w:color w:val="auto"/>
          <w:szCs w:val="21"/>
          <w:highlight w:val="none"/>
        </w:rPr>
        <w:t>21.</w:t>
      </w:r>
      <w:r>
        <w:rPr>
          <w:rFonts w:hint="eastAsia" w:ascii="宋体" w:hAnsi="宋体"/>
          <w:b/>
          <w:bCs/>
          <w:color w:val="auto"/>
          <w:szCs w:val="21"/>
          <w:highlight w:val="none"/>
        </w:rPr>
        <w:t>响应文件的签署及规定</w:t>
      </w:r>
    </w:p>
    <w:p w14:paraId="1000D260">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21.1</w:t>
      </w:r>
      <w:r>
        <w:rPr>
          <w:rFonts w:hint="eastAsia" w:ascii="宋体" w:hAnsi="宋体"/>
          <w:color w:val="auto"/>
          <w:highlight w:val="none"/>
        </w:rPr>
        <w:t>响应文件的正本和副本应装订成册，正本一份，副本份数见</w:t>
      </w:r>
      <w:r>
        <w:rPr>
          <w:rFonts w:hint="eastAsia" w:ascii="宋体" w:hAnsi="宋体"/>
          <w:b/>
          <w:color w:val="auto"/>
          <w:highlight w:val="none"/>
        </w:rPr>
        <w:t>磋商须知前附表</w:t>
      </w:r>
      <w:r>
        <w:rPr>
          <w:rFonts w:hint="eastAsia" w:ascii="宋体" w:hAnsi="宋体"/>
          <w:color w:val="auto"/>
          <w:highlight w:val="none"/>
        </w:rPr>
        <w:t>。正本和副本的封面上应标记“正本”或“副本”的字样，当正本和副本有差异时，以正本为准。</w:t>
      </w:r>
    </w:p>
    <w:p w14:paraId="7BF09720">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 xml:space="preserve">21.2 </w:t>
      </w:r>
      <w:r>
        <w:rPr>
          <w:rFonts w:hint="eastAsia" w:ascii="宋体" w:hAnsi="宋体"/>
          <w:color w:val="auto"/>
          <w:highlight w:val="none"/>
        </w:rPr>
        <w:t>响应文件正本和副本应按磋商文件要求签章处盖单位章和由法定代表人或其委托代理人签字；任何加行、涂改、增删，应有法定代表人或其委托代理人在旁边签字。否则，将导致响应文件无效。</w:t>
      </w:r>
    </w:p>
    <w:p w14:paraId="09127F9C">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 xml:space="preserve">21.3 </w:t>
      </w:r>
      <w:r>
        <w:rPr>
          <w:rFonts w:hint="eastAsia" w:ascii="宋体" w:hAnsi="宋体"/>
          <w:color w:val="auto"/>
          <w:highlight w:val="none"/>
        </w:rPr>
        <w:t>在磋商过程中，供应商按磋商文件规定和磋商小组要求</w:t>
      </w:r>
      <w:r>
        <w:rPr>
          <w:rFonts w:hint="eastAsia" w:ascii="宋体" w:hAnsi="宋体" w:cs="宋体"/>
          <w:color w:val="auto"/>
          <w:highlight w:val="none"/>
        </w:rPr>
        <w:t>提交的</w:t>
      </w:r>
      <w:r>
        <w:rPr>
          <w:rFonts w:hint="eastAsia" w:ascii="宋体" w:hAnsi="宋体"/>
          <w:color w:val="auto"/>
          <w:highlight w:val="none"/>
        </w:rPr>
        <w:t>最后报价</w:t>
      </w:r>
      <w:r>
        <w:rPr>
          <w:rFonts w:ascii="宋体" w:hAnsi="宋体"/>
          <w:color w:val="auto"/>
          <w:highlight w:val="none"/>
        </w:rPr>
        <w:t>(</w:t>
      </w:r>
      <w:r>
        <w:rPr>
          <w:rFonts w:hint="eastAsia" w:ascii="宋体" w:hAnsi="宋体"/>
          <w:color w:val="auto"/>
          <w:highlight w:val="none"/>
        </w:rPr>
        <w:t>或者</w:t>
      </w:r>
      <w:r>
        <w:rPr>
          <w:rFonts w:hint="eastAsia" w:ascii="宋体" w:hAnsi="宋体"/>
          <w:bCs/>
          <w:color w:val="auto"/>
          <w:highlight w:val="none"/>
        </w:rPr>
        <w:t>重</w:t>
      </w:r>
      <w:r>
        <w:rPr>
          <w:rFonts w:hint="eastAsia" w:ascii="宋体" w:hAnsi="宋体" w:cs="宋体"/>
          <w:color w:val="auto"/>
          <w:highlight w:val="none"/>
        </w:rPr>
        <w:t>新提交的响应文件和</w:t>
      </w:r>
      <w:r>
        <w:rPr>
          <w:rFonts w:hint="eastAsia" w:ascii="宋体" w:hAnsi="宋体"/>
          <w:color w:val="auto"/>
          <w:highlight w:val="none"/>
        </w:rPr>
        <w:t>最后报价</w:t>
      </w:r>
      <w:r>
        <w:rPr>
          <w:rFonts w:ascii="宋体" w:hAnsi="宋体"/>
          <w:color w:val="auto"/>
          <w:highlight w:val="none"/>
        </w:rPr>
        <w:t>)</w:t>
      </w:r>
      <w:r>
        <w:rPr>
          <w:rFonts w:hint="eastAsia" w:ascii="宋体" w:hAnsi="宋体"/>
          <w:color w:val="auto"/>
          <w:highlight w:val="none"/>
        </w:rPr>
        <w:t>，一式两份，可打印或用不退色墨水书写，但需经法定代表人或其委托代理人签字，</w:t>
      </w:r>
      <w:r>
        <w:rPr>
          <w:rFonts w:hint="eastAsia" w:ascii="宋体" w:hAnsi="宋体" w:cs="宋体"/>
          <w:color w:val="auto"/>
          <w:highlight w:val="none"/>
        </w:rPr>
        <w:t>或者加盖供应商单位章</w:t>
      </w:r>
      <w:r>
        <w:rPr>
          <w:rFonts w:hint="eastAsia" w:ascii="宋体" w:hAnsi="宋体"/>
          <w:color w:val="auto"/>
          <w:highlight w:val="none"/>
        </w:rPr>
        <w:t>。否则，将导致响应文件无效。</w:t>
      </w:r>
    </w:p>
    <w:p w14:paraId="1D70DB12">
      <w:pPr>
        <w:adjustRightInd w:val="0"/>
        <w:snapToGrid w:val="0"/>
        <w:spacing w:line="520" w:lineRule="exact"/>
        <w:rPr>
          <w:rFonts w:ascii="宋体" w:hAnsi="宋体"/>
          <w:color w:val="auto"/>
          <w:sz w:val="24"/>
          <w:highlight w:val="none"/>
        </w:rPr>
      </w:pPr>
      <w:r>
        <w:rPr>
          <w:rFonts w:hint="eastAsia" w:ascii="宋体" w:hAnsi="宋体"/>
          <w:color w:val="auto"/>
          <w:sz w:val="24"/>
          <w:highlight w:val="none"/>
        </w:rPr>
        <w:t>四、响应文件的递交</w:t>
      </w:r>
    </w:p>
    <w:p w14:paraId="6FCAF8EE">
      <w:pPr>
        <w:adjustRightInd w:val="0"/>
        <w:snapToGrid w:val="0"/>
        <w:spacing w:line="520" w:lineRule="exact"/>
        <w:rPr>
          <w:rFonts w:ascii="宋体" w:hAnsi="宋体"/>
          <w:b/>
          <w:bCs/>
          <w:color w:val="auto"/>
          <w:szCs w:val="21"/>
          <w:highlight w:val="none"/>
        </w:rPr>
      </w:pPr>
      <w:r>
        <w:rPr>
          <w:rFonts w:ascii="宋体" w:hAnsi="宋体"/>
          <w:b/>
          <w:bCs/>
          <w:color w:val="auto"/>
          <w:szCs w:val="21"/>
          <w:highlight w:val="none"/>
        </w:rPr>
        <w:t>22.</w:t>
      </w:r>
      <w:r>
        <w:rPr>
          <w:rFonts w:hint="eastAsia" w:ascii="宋体" w:hAnsi="宋体"/>
          <w:b/>
          <w:color w:val="auto"/>
          <w:szCs w:val="21"/>
          <w:highlight w:val="none"/>
        </w:rPr>
        <w:t>响应文件</w:t>
      </w:r>
      <w:r>
        <w:rPr>
          <w:rFonts w:hint="eastAsia" w:ascii="宋体" w:hAnsi="宋体"/>
          <w:b/>
          <w:bCs/>
          <w:color w:val="auto"/>
          <w:szCs w:val="21"/>
          <w:highlight w:val="none"/>
        </w:rPr>
        <w:t>的密封和标记</w:t>
      </w:r>
    </w:p>
    <w:p w14:paraId="0646E4C7">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22.1</w:t>
      </w:r>
      <w:r>
        <w:rPr>
          <w:rFonts w:hint="eastAsia" w:ascii="宋体" w:hAnsi="宋体"/>
          <w:color w:val="auto"/>
          <w:highlight w:val="none"/>
        </w:rPr>
        <w:t>响应文件应密封包装，加贴封条，并在封套的封口处盖供应商单位章或者由法定代表人或其委托代理人签字。</w:t>
      </w:r>
    </w:p>
    <w:p w14:paraId="2454B9DF">
      <w:pPr>
        <w:adjustRightInd w:val="0"/>
        <w:snapToGrid w:val="0"/>
        <w:spacing w:line="520" w:lineRule="exact"/>
        <w:ind w:firstLine="420" w:firstLineChars="200"/>
        <w:jc w:val="left"/>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响应文件封套上应写明的内容见</w:t>
      </w:r>
      <w:r>
        <w:rPr>
          <w:rFonts w:hint="eastAsia" w:ascii="宋体" w:hAnsi="宋体"/>
          <w:b/>
          <w:color w:val="auto"/>
          <w:szCs w:val="21"/>
          <w:highlight w:val="none"/>
        </w:rPr>
        <w:t>磋商须知前附表。</w:t>
      </w:r>
    </w:p>
    <w:p w14:paraId="627BFBF8">
      <w:pPr>
        <w:adjustRightInd w:val="0"/>
        <w:snapToGrid w:val="0"/>
        <w:spacing w:line="520" w:lineRule="exact"/>
        <w:ind w:firstLine="420" w:firstLineChars="200"/>
        <w:jc w:val="left"/>
        <w:rPr>
          <w:rFonts w:ascii="宋体" w:hAnsi="宋体"/>
          <w:color w:val="auto"/>
          <w:szCs w:val="21"/>
          <w:highlight w:val="none"/>
        </w:rPr>
      </w:pPr>
      <w:r>
        <w:rPr>
          <w:rFonts w:ascii="宋体" w:hAnsi="宋体"/>
          <w:color w:val="auto"/>
          <w:szCs w:val="21"/>
          <w:highlight w:val="none"/>
        </w:rPr>
        <w:t>22.3</w:t>
      </w:r>
      <w:r>
        <w:rPr>
          <w:rFonts w:hint="eastAsia" w:ascii="宋体" w:hAnsi="宋体"/>
          <w:color w:val="auto"/>
          <w:szCs w:val="21"/>
          <w:highlight w:val="none"/>
        </w:rPr>
        <w:t>响应文件如果未按上述规定密封和加写标记，采购人或采购代理机构将拒绝接收。</w:t>
      </w:r>
    </w:p>
    <w:p w14:paraId="16D461F5">
      <w:pPr>
        <w:adjustRightInd w:val="0"/>
        <w:snapToGrid w:val="0"/>
        <w:spacing w:line="520" w:lineRule="exact"/>
        <w:rPr>
          <w:rFonts w:ascii="宋体" w:hAnsi="宋体"/>
          <w:b/>
          <w:bCs/>
          <w:color w:val="auto"/>
          <w:szCs w:val="21"/>
          <w:highlight w:val="none"/>
        </w:rPr>
      </w:pPr>
      <w:r>
        <w:rPr>
          <w:rFonts w:ascii="宋体" w:hAnsi="宋体"/>
          <w:b/>
          <w:bCs/>
          <w:color w:val="auto"/>
          <w:szCs w:val="21"/>
          <w:highlight w:val="none"/>
        </w:rPr>
        <w:t>23.</w:t>
      </w:r>
      <w:r>
        <w:rPr>
          <w:rFonts w:hint="eastAsia" w:ascii="宋体" w:hAnsi="宋体"/>
          <w:b/>
          <w:bCs/>
          <w:color w:val="auto"/>
          <w:szCs w:val="21"/>
          <w:highlight w:val="none"/>
        </w:rPr>
        <w:t>响应文件的</w:t>
      </w:r>
      <w:r>
        <w:rPr>
          <w:rFonts w:hint="eastAsia" w:ascii="宋体" w:hAnsi="宋体" w:cs="宋体"/>
          <w:b/>
          <w:color w:val="auto"/>
          <w:kern w:val="0"/>
          <w:szCs w:val="21"/>
          <w:highlight w:val="none"/>
          <w:lang w:val="zh-CN"/>
        </w:rPr>
        <w:t>补充、修改或者撤回</w:t>
      </w:r>
    </w:p>
    <w:p w14:paraId="6666DB30">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23.1</w:t>
      </w:r>
      <w:r>
        <w:rPr>
          <w:rFonts w:hint="eastAsia" w:ascii="宋体" w:hAnsi="宋体" w:cs="宋体"/>
          <w:color w:val="auto"/>
          <w:highlight w:val="none"/>
        </w:rPr>
        <w:t>供应商在提交首次响应文件截止时间前，可以对所提交的首次响应文件进行补充、修改或者撤回，并书面通知采购人、采购代理机构。</w:t>
      </w:r>
      <w:r>
        <w:rPr>
          <w:rFonts w:hint="eastAsia" w:ascii="宋体" w:hAnsi="宋体"/>
          <w:color w:val="auto"/>
          <w:highlight w:val="none"/>
        </w:rPr>
        <w:t>该通知应有供应商法定代表人或其委托代理人签字。</w:t>
      </w:r>
    </w:p>
    <w:p w14:paraId="44A03685">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23.2</w:t>
      </w:r>
      <w:r>
        <w:rPr>
          <w:rFonts w:hint="eastAsia" w:ascii="宋体" w:hAnsi="宋体" w:cs="宋体"/>
          <w:color w:val="auto"/>
          <w:highlight w:val="none"/>
          <w:lang w:val="zh-CN"/>
        </w:rPr>
        <w:t>补充、修改的内容与响应文件不一致时，以补充、修改的内容为准。</w:t>
      </w:r>
    </w:p>
    <w:p w14:paraId="02C55B42">
      <w:pPr>
        <w:adjustRightInd w:val="0"/>
        <w:snapToGrid w:val="0"/>
        <w:spacing w:line="520" w:lineRule="exact"/>
        <w:rPr>
          <w:rFonts w:ascii="宋体" w:hAnsi="宋体"/>
          <w:b/>
          <w:bCs/>
          <w:color w:val="auto"/>
          <w:szCs w:val="21"/>
          <w:highlight w:val="none"/>
        </w:rPr>
      </w:pPr>
      <w:r>
        <w:rPr>
          <w:rFonts w:ascii="宋体" w:hAnsi="宋体"/>
          <w:b/>
          <w:bCs/>
          <w:color w:val="auto"/>
          <w:szCs w:val="21"/>
          <w:highlight w:val="none"/>
        </w:rPr>
        <w:t>24.</w:t>
      </w:r>
      <w:r>
        <w:rPr>
          <w:rFonts w:hint="eastAsia" w:ascii="宋体" w:hAnsi="宋体"/>
          <w:b/>
          <w:bCs/>
          <w:color w:val="auto"/>
          <w:szCs w:val="21"/>
          <w:highlight w:val="none"/>
        </w:rPr>
        <w:t>响应文件的递交与接收</w:t>
      </w:r>
    </w:p>
    <w:p w14:paraId="2B05805A">
      <w:pPr>
        <w:adjustRightInd w:val="0"/>
        <w:snapToGrid w:val="0"/>
        <w:spacing w:line="520" w:lineRule="exact"/>
        <w:ind w:firstLine="420" w:firstLineChars="200"/>
        <w:rPr>
          <w:rFonts w:ascii="宋体" w:hAnsi="宋体"/>
          <w:color w:val="auto"/>
          <w:szCs w:val="21"/>
          <w:highlight w:val="none"/>
        </w:rPr>
      </w:pPr>
      <w:r>
        <w:rPr>
          <w:rFonts w:ascii="宋体" w:hAnsi="宋体"/>
          <w:color w:val="auto"/>
          <w:szCs w:val="21"/>
          <w:highlight w:val="none"/>
        </w:rPr>
        <w:t xml:space="preserve">24.1 </w:t>
      </w:r>
      <w:r>
        <w:rPr>
          <w:rFonts w:hint="eastAsia" w:ascii="宋体" w:hAnsi="宋体"/>
          <w:color w:val="auto"/>
          <w:szCs w:val="21"/>
          <w:highlight w:val="none"/>
        </w:rPr>
        <w:t>供应商应在</w:t>
      </w:r>
      <w:r>
        <w:rPr>
          <w:rFonts w:hint="eastAsia" w:ascii="宋体" w:hAnsi="宋体" w:cs="宋体"/>
          <w:color w:val="auto"/>
          <w:kern w:val="0"/>
          <w:szCs w:val="21"/>
          <w:highlight w:val="none"/>
        </w:rPr>
        <w:t>提交首次响应文件截止时间</w:t>
      </w:r>
      <w:r>
        <w:rPr>
          <w:rFonts w:hint="eastAsia" w:ascii="宋体" w:hAnsi="宋体"/>
          <w:color w:val="auto"/>
          <w:szCs w:val="21"/>
          <w:highlight w:val="none"/>
        </w:rPr>
        <w:t>前，将响应文件送</w:t>
      </w:r>
      <w:r>
        <w:rPr>
          <w:rFonts w:hint="eastAsia" w:ascii="宋体" w:hAnsi="宋体" w:cs="Arial"/>
          <w:color w:val="auto"/>
          <w:szCs w:val="21"/>
          <w:highlight w:val="none"/>
        </w:rPr>
        <w:t>达</w:t>
      </w:r>
      <w:r>
        <w:rPr>
          <w:rFonts w:hint="eastAsia" w:ascii="宋体" w:hAnsi="宋体"/>
          <w:b/>
          <w:color w:val="auto"/>
          <w:szCs w:val="21"/>
          <w:highlight w:val="none"/>
        </w:rPr>
        <w:t>磋商须知前附表</w:t>
      </w:r>
      <w:r>
        <w:rPr>
          <w:rFonts w:hint="eastAsia" w:ascii="宋体" w:hAnsi="宋体"/>
          <w:color w:val="auto"/>
          <w:szCs w:val="21"/>
          <w:highlight w:val="none"/>
        </w:rPr>
        <w:t>中指定的地点。</w:t>
      </w:r>
      <w:r>
        <w:rPr>
          <w:rFonts w:hint="eastAsia" w:ascii="宋体" w:hAnsi="宋体" w:cs="宋体"/>
          <w:color w:val="auto"/>
          <w:kern w:val="0"/>
          <w:highlight w:val="none"/>
        </w:rPr>
        <w:t>在截止时间后送达的响应文件，采购人、采购代理机构或者磋商小组应当拒收。</w:t>
      </w:r>
    </w:p>
    <w:p w14:paraId="44E7E907">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24.2</w:t>
      </w:r>
      <w:r>
        <w:rPr>
          <w:rFonts w:hint="eastAsia" w:ascii="宋体" w:hAnsi="宋体" w:cs="宋体"/>
          <w:color w:val="auto"/>
          <w:highlight w:val="none"/>
        </w:rPr>
        <w:t>在提交首次响应文件截止时间后，</w:t>
      </w:r>
      <w:r>
        <w:rPr>
          <w:rFonts w:hint="eastAsia" w:ascii="宋体" w:hAnsi="宋体"/>
          <w:color w:val="auto"/>
          <w:highlight w:val="none"/>
        </w:rPr>
        <w:t>由</w:t>
      </w:r>
      <w:r>
        <w:rPr>
          <w:rFonts w:hint="eastAsia" w:ascii="宋体" w:hAnsi="宋体"/>
          <w:bCs/>
          <w:color w:val="auto"/>
          <w:highlight w:val="none"/>
        </w:rPr>
        <w:t>供应商代表</w:t>
      </w:r>
      <w:r>
        <w:rPr>
          <w:rFonts w:hint="eastAsia" w:ascii="宋体" w:hAnsi="宋体"/>
          <w:color w:val="auto"/>
          <w:highlight w:val="none"/>
        </w:rPr>
        <w:t>当场查验</w:t>
      </w:r>
      <w:r>
        <w:rPr>
          <w:rFonts w:hint="eastAsia" w:ascii="宋体" w:hAnsi="宋体"/>
          <w:bCs/>
          <w:color w:val="auto"/>
          <w:highlight w:val="none"/>
        </w:rPr>
        <w:t>响应文件</w:t>
      </w:r>
      <w:r>
        <w:rPr>
          <w:rFonts w:hint="eastAsia" w:ascii="宋体" w:hAnsi="宋体"/>
          <w:color w:val="auto"/>
          <w:highlight w:val="none"/>
        </w:rPr>
        <w:t>的密封状况，采购人或</w:t>
      </w:r>
      <w:r>
        <w:rPr>
          <w:rFonts w:hint="eastAsia" w:ascii="宋体" w:hAnsi="宋体"/>
          <w:bCs/>
          <w:color w:val="auto"/>
          <w:highlight w:val="none"/>
        </w:rPr>
        <w:t>采购代理机构</w:t>
      </w:r>
      <w:r>
        <w:rPr>
          <w:rFonts w:hint="eastAsia" w:ascii="宋体" w:hAnsi="宋体"/>
          <w:color w:val="auto"/>
          <w:highlight w:val="none"/>
        </w:rPr>
        <w:t>不当场拆封</w:t>
      </w:r>
      <w:r>
        <w:rPr>
          <w:rFonts w:hint="eastAsia" w:ascii="宋体" w:hAnsi="宋体"/>
          <w:bCs/>
          <w:color w:val="auto"/>
          <w:highlight w:val="none"/>
        </w:rPr>
        <w:t>响应文件</w:t>
      </w:r>
      <w:r>
        <w:rPr>
          <w:rFonts w:hint="eastAsia" w:ascii="宋体" w:hAnsi="宋体"/>
          <w:color w:val="auto"/>
          <w:highlight w:val="none"/>
        </w:rPr>
        <w:t>。</w:t>
      </w:r>
    </w:p>
    <w:p w14:paraId="212DD903">
      <w:pPr>
        <w:adjustRightInd w:val="0"/>
        <w:snapToGrid w:val="0"/>
        <w:spacing w:line="520" w:lineRule="exact"/>
        <w:rPr>
          <w:rFonts w:ascii="宋体" w:hAnsi="宋体"/>
          <w:color w:val="auto"/>
          <w:sz w:val="24"/>
          <w:highlight w:val="none"/>
        </w:rPr>
      </w:pPr>
      <w:r>
        <w:rPr>
          <w:rFonts w:hint="eastAsia" w:ascii="宋体" w:hAnsi="宋体"/>
          <w:color w:val="auto"/>
          <w:sz w:val="24"/>
          <w:highlight w:val="none"/>
        </w:rPr>
        <w:t>五、响应文件的磋商与评审</w:t>
      </w:r>
    </w:p>
    <w:p w14:paraId="18002099">
      <w:pPr>
        <w:tabs>
          <w:tab w:val="left" w:pos="0"/>
        </w:tabs>
        <w:adjustRightInd w:val="0"/>
        <w:snapToGrid w:val="0"/>
        <w:spacing w:line="520" w:lineRule="exact"/>
        <w:rPr>
          <w:rFonts w:ascii="宋体" w:hAnsi="宋体"/>
          <w:b/>
          <w:bCs/>
          <w:color w:val="auto"/>
          <w:szCs w:val="21"/>
          <w:highlight w:val="none"/>
        </w:rPr>
      </w:pPr>
      <w:r>
        <w:rPr>
          <w:rFonts w:ascii="宋体" w:hAnsi="宋体"/>
          <w:b/>
          <w:bCs/>
          <w:color w:val="auto"/>
          <w:szCs w:val="21"/>
          <w:highlight w:val="none"/>
        </w:rPr>
        <w:t>25.</w:t>
      </w:r>
      <w:r>
        <w:rPr>
          <w:rFonts w:hint="eastAsia" w:ascii="宋体" w:hAnsi="宋体"/>
          <w:b/>
          <w:bCs/>
          <w:color w:val="auto"/>
          <w:szCs w:val="21"/>
          <w:highlight w:val="none"/>
        </w:rPr>
        <w:t>磋商程序</w:t>
      </w:r>
    </w:p>
    <w:p w14:paraId="1F04D3D0">
      <w:pPr>
        <w:widowControl/>
        <w:adjustRightInd w:val="0"/>
        <w:snapToGrid w:val="0"/>
        <w:spacing w:line="520" w:lineRule="exact"/>
        <w:ind w:firstLine="420"/>
        <w:jc w:val="left"/>
        <w:rPr>
          <w:rFonts w:ascii="宋体" w:hAnsi="宋体"/>
          <w:bCs/>
          <w:color w:val="auto"/>
          <w:szCs w:val="21"/>
          <w:highlight w:val="none"/>
        </w:rPr>
      </w:pPr>
      <w:r>
        <w:rPr>
          <w:rFonts w:ascii="宋体" w:hAnsi="宋体" w:cs="宋体"/>
          <w:color w:val="auto"/>
          <w:kern w:val="0"/>
          <w:szCs w:val="21"/>
          <w:highlight w:val="none"/>
        </w:rPr>
        <w:t>25.1</w:t>
      </w:r>
      <w:r>
        <w:rPr>
          <w:rFonts w:hint="eastAsia" w:ascii="宋体" w:hAnsi="宋体" w:cs="宋体"/>
          <w:color w:val="auto"/>
          <w:kern w:val="0"/>
          <w:szCs w:val="21"/>
          <w:highlight w:val="none"/>
        </w:rPr>
        <w:t>磋商程序：响应文件审查、磋商（包括澄清）、响应文件评审、</w:t>
      </w:r>
      <w:r>
        <w:rPr>
          <w:rFonts w:hint="eastAsia" w:ascii="宋体" w:hAnsi="宋体"/>
          <w:bCs/>
          <w:color w:val="auto"/>
          <w:szCs w:val="21"/>
          <w:highlight w:val="none"/>
        </w:rPr>
        <w:t>提出成交供应商。其中，</w:t>
      </w:r>
      <w:r>
        <w:rPr>
          <w:rFonts w:hint="eastAsia" w:ascii="宋体" w:hAnsi="宋体" w:cs="宋体"/>
          <w:color w:val="auto"/>
          <w:kern w:val="0"/>
          <w:szCs w:val="21"/>
          <w:highlight w:val="none"/>
        </w:rPr>
        <w:t>磋商按</w:t>
      </w:r>
      <w:r>
        <w:rPr>
          <w:rFonts w:hint="eastAsia" w:ascii="宋体" w:hAnsi="宋体"/>
          <w:color w:val="auto"/>
          <w:szCs w:val="21"/>
          <w:highlight w:val="none"/>
        </w:rPr>
        <w:t>本章</w:t>
      </w:r>
      <w:r>
        <w:rPr>
          <w:rFonts w:hint="eastAsia" w:ascii="宋体" w:hAnsi="宋体"/>
          <w:color w:val="auto"/>
          <w:highlight w:val="none"/>
        </w:rPr>
        <w:t>第</w:t>
      </w:r>
      <w:r>
        <w:rPr>
          <w:rFonts w:ascii="宋体" w:hAnsi="宋体"/>
          <w:color w:val="auto"/>
          <w:highlight w:val="none"/>
        </w:rPr>
        <w:t>30.1</w:t>
      </w:r>
      <w:r>
        <w:rPr>
          <w:rFonts w:hint="eastAsia" w:ascii="宋体" w:hAnsi="宋体" w:cs="宋体"/>
          <w:color w:val="auto"/>
          <w:kern w:val="0"/>
          <w:szCs w:val="21"/>
          <w:highlight w:val="none"/>
          <w:lang w:val="zh-CN"/>
        </w:rPr>
        <w:t>款或者</w:t>
      </w:r>
      <w:r>
        <w:rPr>
          <w:rFonts w:hint="eastAsia" w:ascii="宋体" w:hAnsi="宋体"/>
          <w:color w:val="auto"/>
          <w:highlight w:val="none"/>
        </w:rPr>
        <w:t>第</w:t>
      </w:r>
      <w:r>
        <w:rPr>
          <w:rFonts w:ascii="宋体" w:hAnsi="宋体"/>
          <w:color w:val="auto"/>
          <w:highlight w:val="none"/>
        </w:rPr>
        <w:t>30.2</w:t>
      </w:r>
      <w:r>
        <w:rPr>
          <w:rFonts w:hint="eastAsia" w:ascii="宋体" w:hAnsi="宋体" w:cs="宋体"/>
          <w:color w:val="auto"/>
          <w:kern w:val="0"/>
          <w:szCs w:val="21"/>
          <w:highlight w:val="none"/>
          <w:lang w:val="zh-CN"/>
        </w:rPr>
        <w:t>款</w:t>
      </w:r>
      <w:r>
        <w:rPr>
          <w:rFonts w:hint="eastAsia" w:ascii="宋体" w:hAnsi="宋体"/>
          <w:color w:val="auto"/>
          <w:highlight w:val="none"/>
        </w:rPr>
        <w:t>情形</w:t>
      </w:r>
      <w:r>
        <w:rPr>
          <w:rFonts w:hint="eastAsia" w:ascii="宋体" w:hAnsi="宋体"/>
          <w:bCs/>
          <w:color w:val="auto"/>
          <w:szCs w:val="21"/>
          <w:highlight w:val="none"/>
        </w:rPr>
        <w:t>进行。</w:t>
      </w:r>
    </w:p>
    <w:p w14:paraId="7E194ED2">
      <w:pPr>
        <w:widowControl/>
        <w:adjustRightInd w:val="0"/>
        <w:snapToGrid w:val="0"/>
        <w:spacing w:line="520" w:lineRule="exact"/>
        <w:rPr>
          <w:rFonts w:ascii="宋体" w:hAnsi="宋体"/>
          <w:b/>
          <w:color w:val="auto"/>
          <w:szCs w:val="21"/>
          <w:highlight w:val="none"/>
        </w:rPr>
      </w:pPr>
      <w:r>
        <w:rPr>
          <w:rFonts w:ascii="宋体" w:hAnsi="宋体" w:cs="宋体"/>
          <w:b/>
          <w:color w:val="auto"/>
          <w:kern w:val="0"/>
          <w:szCs w:val="21"/>
          <w:highlight w:val="none"/>
        </w:rPr>
        <w:t>26.</w:t>
      </w:r>
      <w:r>
        <w:rPr>
          <w:rFonts w:ascii="宋体" w:hAnsi="宋体"/>
          <w:color w:val="auto"/>
          <w:highlight w:val="none"/>
        </w:rPr>
        <w:t xml:space="preserve"> </w:t>
      </w:r>
      <w:r>
        <w:rPr>
          <w:rFonts w:hint="eastAsia" w:ascii="宋体" w:hAnsi="宋体" w:cs="宋体"/>
          <w:b/>
          <w:color w:val="auto"/>
          <w:kern w:val="0"/>
          <w:szCs w:val="21"/>
          <w:highlight w:val="none"/>
        </w:rPr>
        <w:t>响应文件审查</w:t>
      </w:r>
      <w:r>
        <w:rPr>
          <w:rFonts w:ascii="宋体" w:hAnsi="宋体"/>
          <w:b/>
          <w:color w:val="auto"/>
          <w:szCs w:val="21"/>
          <w:highlight w:val="none"/>
        </w:rPr>
        <w:t xml:space="preserve"> </w:t>
      </w:r>
    </w:p>
    <w:p w14:paraId="29E7A73A">
      <w:pPr>
        <w:adjustRightInd w:val="0"/>
        <w:snapToGrid w:val="0"/>
        <w:spacing w:before="156" w:beforeLines="50" w:line="520" w:lineRule="exact"/>
        <w:ind w:firstLine="420" w:firstLineChars="200"/>
        <w:rPr>
          <w:rFonts w:ascii="宋体" w:hAnsi="宋体"/>
          <w:color w:val="auto"/>
          <w:szCs w:val="21"/>
          <w:highlight w:val="none"/>
        </w:rPr>
      </w:pPr>
      <w:r>
        <w:rPr>
          <w:rFonts w:ascii="宋体" w:hAnsi="宋体"/>
          <w:color w:val="auto"/>
          <w:szCs w:val="21"/>
          <w:highlight w:val="none"/>
        </w:rPr>
        <w:t xml:space="preserve">26.1 </w:t>
      </w:r>
      <w:r>
        <w:rPr>
          <w:rFonts w:hint="eastAsia" w:ascii="宋体" w:hAnsi="宋体"/>
          <w:color w:val="auto"/>
          <w:szCs w:val="21"/>
          <w:highlight w:val="none"/>
        </w:rPr>
        <w:t>资格性审查：根据本章第</w:t>
      </w:r>
      <w:r>
        <w:rPr>
          <w:rFonts w:ascii="宋体" w:hAnsi="宋体"/>
          <w:color w:val="auto"/>
          <w:szCs w:val="21"/>
          <w:highlight w:val="none"/>
        </w:rPr>
        <w:t>3.1</w:t>
      </w:r>
      <w:r>
        <w:rPr>
          <w:rFonts w:hint="eastAsia" w:ascii="宋体" w:hAnsi="宋体"/>
          <w:color w:val="auto"/>
          <w:szCs w:val="21"/>
          <w:highlight w:val="none"/>
        </w:rPr>
        <w:t>项规定的供应商资格条件要求，对</w:t>
      </w:r>
      <w:r>
        <w:rPr>
          <w:rFonts w:hint="eastAsia" w:ascii="宋体" w:hAnsi="宋体"/>
          <w:color w:val="auto"/>
          <w:highlight w:val="none"/>
        </w:rPr>
        <w:t>响应</w:t>
      </w:r>
      <w:r>
        <w:rPr>
          <w:rFonts w:hint="eastAsia" w:ascii="宋体" w:hAnsi="宋体"/>
          <w:color w:val="auto"/>
          <w:szCs w:val="21"/>
          <w:highlight w:val="none"/>
        </w:rPr>
        <w:t>文件的资格证明等进行审查，以确定供应商是否具备磋商资格条件。</w:t>
      </w:r>
    </w:p>
    <w:p w14:paraId="38C78402">
      <w:pPr>
        <w:adjustRightInd w:val="0"/>
        <w:snapToGrid w:val="0"/>
        <w:spacing w:line="520" w:lineRule="exact"/>
        <w:ind w:firstLine="420" w:firstLineChars="200"/>
        <w:rPr>
          <w:rFonts w:ascii="宋体" w:hAnsi="宋体"/>
          <w:color w:val="auto"/>
          <w:szCs w:val="21"/>
          <w:highlight w:val="none"/>
        </w:rPr>
      </w:pPr>
      <w:r>
        <w:rPr>
          <w:rFonts w:ascii="宋体" w:hAnsi="宋体"/>
          <w:color w:val="auto"/>
          <w:szCs w:val="21"/>
          <w:highlight w:val="none"/>
        </w:rPr>
        <w:t>26.2</w:t>
      </w:r>
      <w:r>
        <w:rPr>
          <w:rFonts w:hint="eastAsia" w:ascii="宋体" w:hAnsi="宋体"/>
          <w:color w:val="auto"/>
          <w:szCs w:val="21"/>
          <w:highlight w:val="none"/>
        </w:rPr>
        <w:t>符合性审查</w:t>
      </w:r>
      <w:r>
        <w:rPr>
          <w:rFonts w:ascii="宋体" w:hAnsi="宋体"/>
          <w:color w:val="auto"/>
          <w:szCs w:val="21"/>
          <w:highlight w:val="none"/>
        </w:rPr>
        <w:t xml:space="preserve">: </w:t>
      </w:r>
      <w:r>
        <w:rPr>
          <w:rFonts w:hint="eastAsia" w:ascii="宋体" w:hAnsi="宋体"/>
          <w:color w:val="auto"/>
          <w:szCs w:val="21"/>
          <w:highlight w:val="none"/>
        </w:rPr>
        <w:t>对响应文件</w:t>
      </w:r>
      <w:r>
        <w:rPr>
          <w:rFonts w:ascii="宋体" w:hAnsi="宋体"/>
          <w:color w:val="auto"/>
          <w:szCs w:val="21"/>
          <w:highlight w:val="none"/>
        </w:rPr>
        <w:t>(</w:t>
      </w:r>
      <w:r>
        <w:rPr>
          <w:rFonts w:hint="eastAsia" w:ascii="宋体" w:hAnsi="宋体"/>
          <w:color w:val="auto"/>
          <w:szCs w:val="21"/>
          <w:highlight w:val="none"/>
        </w:rPr>
        <w:t>包括首次提交的响应文件、重新提交的响应文件</w:t>
      </w:r>
      <w:r>
        <w:rPr>
          <w:rFonts w:ascii="宋体" w:hAnsi="宋体"/>
          <w:color w:val="auto"/>
          <w:szCs w:val="21"/>
          <w:highlight w:val="none"/>
        </w:rPr>
        <w:t>)</w:t>
      </w:r>
      <w:r>
        <w:rPr>
          <w:rFonts w:hint="eastAsia" w:ascii="宋体" w:hAnsi="宋体"/>
          <w:color w:val="auto"/>
          <w:szCs w:val="21"/>
          <w:highlight w:val="none"/>
        </w:rPr>
        <w:t>的有效性、完整性和响应程度进行审查，以确定是否对磋商文件的实质性要求作出响应。</w:t>
      </w:r>
    </w:p>
    <w:p w14:paraId="761BA90E">
      <w:pPr>
        <w:adjustRightInd w:val="0"/>
        <w:snapToGrid w:val="0"/>
        <w:spacing w:line="520" w:lineRule="exact"/>
        <w:ind w:firstLine="420" w:firstLineChars="200"/>
        <w:rPr>
          <w:rFonts w:ascii="宋体" w:hAnsi="宋体"/>
          <w:color w:val="auto"/>
          <w:szCs w:val="21"/>
          <w:highlight w:val="none"/>
        </w:rPr>
      </w:pPr>
      <w:r>
        <w:rPr>
          <w:rFonts w:ascii="宋体" w:hAnsi="宋体"/>
          <w:color w:val="auto"/>
          <w:szCs w:val="21"/>
          <w:highlight w:val="none"/>
        </w:rPr>
        <w:t>26.3</w:t>
      </w:r>
      <w:r>
        <w:rPr>
          <w:rFonts w:hint="eastAsia" w:ascii="宋体" w:hAnsi="宋体"/>
          <w:color w:val="auto"/>
          <w:szCs w:val="21"/>
          <w:highlight w:val="none"/>
        </w:rPr>
        <w:t>响应文件审查结束后，磋商小组所有成员集中与单一供应商分别进行磋商，并给予所有参加磋商的供应商平等的磋商机会。供应商应派其法定代表人或委托代理人参加磋商。</w:t>
      </w:r>
    </w:p>
    <w:p w14:paraId="0B4D8BBA">
      <w:pPr>
        <w:adjustRightInd w:val="0"/>
        <w:snapToGrid w:val="0"/>
        <w:spacing w:line="520" w:lineRule="exact"/>
        <w:rPr>
          <w:rFonts w:ascii="宋体" w:hAnsi="宋体" w:cs="宋体"/>
          <w:b/>
          <w:color w:val="auto"/>
          <w:highlight w:val="none"/>
        </w:rPr>
      </w:pPr>
      <w:r>
        <w:rPr>
          <w:rFonts w:ascii="宋体" w:hAnsi="宋体" w:cs="宋体"/>
          <w:b/>
          <w:color w:val="auto"/>
          <w:highlight w:val="none"/>
        </w:rPr>
        <w:t>27.</w:t>
      </w:r>
      <w:r>
        <w:rPr>
          <w:rFonts w:hint="eastAsia" w:ascii="宋体" w:hAnsi="宋体" w:cs="宋体"/>
          <w:b/>
          <w:color w:val="auto"/>
          <w:highlight w:val="none"/>
        </w:rPr>
        <w:t>实质性响应</w:t>
      </w:r>
    </w:p>
    <w:p w14:paraId="438D9B79">
      <w:pPr>
        <w:adjustRightInd w:val="0"/>
        <w:snapToGrid w:val="0"/>
        <w:spacing w:line="520" w:lineRule="exact"/>
        <w:ind w:firstLine="420" w:firstLineChars="200"/>
        <w:rPr>
          <w:rFonts w:ascii="宋体" w:hAnsi="宋体" w:cs="Arial"/>
          <w:color w:val="auto"/>
          <w:highlight w:val="none"/>
          <w:u w:val="single"/>
        </w:rPr>
      </w:pPr>
      <w:r>
        <w:rPr>
          <w:rFonts w:ascii="宋体" w:hAnsi="宋体" w:cs="宋体"/>
          <w:color w:val="auto"/>
          <w:highlight w:val="none"/>
        </w:rPr>
        <w:t>27.1</w:t>
      </w:r>
      <w:r>
        <w:rPr>
          <w:rFonts w:hint="eastAsia" w:ascii="宋体" w:hAnsi="宋体"/>
          <w:color w:val="auto"/>
          <w:highlight w:val="none"/>
        </w:rPr>
        <w:t>实质性响应是指响应文件</w:t>
      </w:r>
      <w:r>
        <w:rPr>
          <w:rFonts w:ascii="宋体" w:hAnsi="宋体"/>
          <w:color w:val="auto"/>
          <w:highlight w:val="none"/>
        </w:rPr>
        <w:t>(</w:t>
      </w:r>
      <w:r>
        <w:rPr>
          <w:rFonts w:hint="eastAsia" w:ascii="宋体" w:hAnsi="宋体"/>
          <w:color w:val="auto"/>
          <w:highlight w:val="none"/>
        </w:rPr>
        <w:t>包括首次响应文件、重新提交的响应文件</w:t>
      </w:r>
      <w:r>
        <w:rPr>
          <w:rFonts w:ascii="宋体" w:hAnsi="宋体"/>
          <w:color w:val="auto"/>
          <w:highlight w:val="none"/>
        </w:rPr>
        <w:t>)</w:t>
      </w:r>
      <w:r>
        <w:rPr>
          <w:rFonts w:hint="eastAsia" w:ascii="宋体" w:hAnsi="宋体"/>
          <w:color w:val="auto"/>
          <w:highlight w:val="none"/>
        </w:rPr>
        <w:t>与磋商文件要求的所有条款、条件和规格相符，没有偏离。偏离指不满足、或不响应磋商文件的要求。</w:t>
      </w:r>
    </w:p>
    <w:p w14:paraId="0ABAF386">
      <w:pPr>
        <w:tabs>
          <w:tab w:val="left" w:pos="0"/>
          <w:tab w:val="left" w:pos="7560"/>
          <w:tab w:val="left" w:pos="7740"/>
          <w:tab w:val="left" w:pos="7920"/>
        </w:tabs>
        <w:adjustRightInd w:val="0"/>
        <w:snapToGrid w:val="0"/>
        <w:spacing w:line="520" w:lineRule="exact"/>
        <w:ind w:right="23" w:rightChars="11" w:firstLine="420" w:firstLineChars="200"/>
        <w:rPr>
          <w:rFonts w:ascii="宋体" w:hAnsi="宋体"/>
          <w:color w:val="auto"/>
          <w:szCs w:val="21"/>
          <w:highlight w:val="none"/>
        </w:rPr>
      </w:pPr>
      <w:r>
        <w:rPr>
          <w:rFonts w:ascii="宋体" w:hAnsi="宋体"/>
          <w:color w:val="auto"/>
          <w:szCs w:val="21"/>
          <w:highlight w:val="none"/>
        </w:rPr>
        <w:t>27.2</w:t>
      </w:r>
      <w:r>
        <w:rPr>
          <w:rFonts w:hint="eastAsia" w:ascii="宋体" w:hAnsi="宋体"/>
          <w:color w:val="auto"/>
          <w:highlight w:val="none"/>
        </w:rPr>
        <w:t>响应文件是否实质性响应磋商文件要求由磋商小组依据磋商文件规定认定。</w:t>
      </w:r>
      <w:r>
        <w:rPr>
          <w:rFonts w:hint="eastAsia" w:ascii="宋体" w:hAnsi="宋体" w:cs="宋体"/>
          <w:color w:val="auto"/>
          <w:kern w:val="0"/>
          <w:szCs w:val="21"/>
          <w:highlight w:val="none"/>
        </w:rPr>
        <w:t>磋商小组</w:t>
      </w:r>
      <w:r>
        <w:rPr>
          <w:rFonts w:hint="eastAsia" w:ascii="宋体" w:hAnsi="宋体"/>
          <w:color w:val="auto"/>
          <w:szCs w:val="21"/>
          <w:highlight w:val="none"/>
        </w:rPr>
        <w:t>决定</w:t>
      </w:r>
      <w:r>
        <w:rPr>
          <w:rFonts w:hint="eastAsia" w:ascii="宋体" w:hAnsi="宋体"/>
          <w:color w:val="auto"/>
          <w:highlight w:val="none"/>
        </w:rPr>
        <w:t>响应文件</w:t>
      </w:r>
      <w:r>
        <w:rPr>
          <w:rFonts w:hint="eastAsia" w:ascii="宋体" w:hAnsi="宋体"/>
          <w:color w:val="auto"/>
          <w:szCs w:val="21"/>
          <w:highlight w:val="none"/>
        </w:rPr>
        <w:t>的响应性只根据</w:t>
      </w:r>
      <w:r>
        <w:rPr>
          <w:rFonts w:hint="eastAsia" w:ascii="宋体" w:hAnsi="宋体"/>
          <w:color w:val="auto"/>
          <w:highlight w:val="none"/>
        </w:rPr>
        <w:t>响应文件</w:t>
      </w:r>
      <w:r>
        <w:rPr>
          <w:rFonts w:hint="eastAsia" w:ascii="宋体" w:hAnsi="宋体"/>
          <w:color w:val="auto"/>
          <w:szCs w:val="21"/>
          <w:highlight w:val="none"/>
        </w:rPr>
        <w:t>本身的真实无误的内容，而不依据外部的证据。</w:t>
      </w:r>
    </w:p>
    <w:p w14:paraId="055A62E0">
      <w:pPr>
        <w:adjustRightInd w:val="0"/>
        <w:snapToGrid w:val="0"/>
        <w:spacing w:line="520" w:lineRule="exact"/>
        <w:rPr>
          <w:rFonts w:ascii="宋体" w:hAnsi="宋体" w:cs="宋体"/>
          <w:b/>
          <w:color w:val="auto"/>
          <w:highlight w:val="none"/>
        </w:rPr>
      </w:pPr>
      <w:r>
        <w:rPr>
          <w:rFonts w:ascii="宋体" w:hAnsi="宋体" w:cs="宋体"/>
          <w:b/>
          <w:color w:val="auto"/>
          <w:highlight w:val="none"/>
        </w:rPr>
        <w:t>28.</w:t>
      </w:r>
      <w:r>
        <w:rPr>
          <w:rFonts w:hint="eastAsia" w:ascii="宋体" w:hAnsi="宋体" w:cs="宋体"/>
          <w:b/>
          <w:color w:val="auto"/>
          <w:highlight w:val="none"/>
        </w:rPr>
        <w:t>无效响应</w:t>
      </w:r>
      <w:r>
        <w:rPr>
          <w:rFonts w:ascii="宋体" w:hAnsi="宋体" w:cs="宋体"/>
          <w:b/>
          <w:color w:val="auto"/>
          <w:highlight w:val="none"/>
        </w:rPr>
        <w:t xml:space="preserve"> </w:t>
      </w:r>
    </w:p>
    <w:p w14:paraId="135D4E89">
      <w:pPr>
        <w:adjustRightInd w:val="0"/>
        <w:snapToGrid w:val="0"/>
        <w:spacing w:line="520" w:lineRule="exact"/>
        <w:ind w:firstLine="411" w:firstLineChars="196"/>
        <w:rPr>
          <w:rFonts w:ascii="宋体" w:hAnsi="宋体" w:cs="宋体"/>
          <w:b/>
          <w:color w:val="auto"/>
          <w:highlight w:val="none"/>
        </w:rPr>
      </w:pPr>
      <w:r>
        <w:rPr>
          <w:rFonts w:ascii="宋体" w:hAnsi="宋体" w:cs="宋体"/>
          <w:color w:val="auto"/>
          <w:highlight w:val="none"/>
        </w:rPr>
        <w:t>28.1</w:t>
      </w:r>
      <w:r>
        <w:rPr>
          <w:rFonts w:hint="eastAsia" w:ascii="宋体" w:hAnsi="宋体"/>
          <w:color w:val="auto"/>
          <w:highlight w:val="none"/>
        </w:rPr>
        <w:t>磋商小组在对资格性和符合性进行审查时，有下列情况之一的，属无效响应，</w:t>
      </w:r>
      <w:r>
        <w:rPr>
          <w:rFonts w:hint="eastAsia" w:ascii="宋体" w:hAnsi="宋体" w:cs="宋体"/>
          <w:color w:val="auto"/>
          <w:highlight w:val="none"/>
        </w:rPr>
        <w:t>磋商小组应当告知有关供应商</w:t>
      </w:r>
      <w:r>
        <w:rPr>
          <w:rFonts w:hint="eastAsia" w:ascii="宋体" w:hAnsi="宋体"/>
          <w:color w:val="auto"/>
          <w:highlight w:val="none"/>
        </w:rPr>
        <w:t>：</w:t>
      </w:r>
    </w:p>
    <w:p w14:paraId="699E2C32">
      <w:pPr>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）供应商不具备本章第</w:t>
      </w:r>
      <w:r>
        <w:rPr>
          <w:rFonts w:ascii="宋体" w:hAnsi="宋体"/>
          <w:color w:val="auto"/>
          <w:szCs w:val="21"/>
          <w:highlight w:val="none"/>
        </w:rPr>
        <w:t>3.1</w:t>
      </w:r>
      <w:r>
        <w:rPr>
          <w:rFonts w:hint="eastAsia" w:ascii="宋体" w:hAnsi="宋体"/>
          <w:color w:val="auto"/>
          <w:szCs w:val="21"/>
          <w:highlight w:val="none"/>
        </w:rPr>
        <w:t>款规定的供应商资格条件要求，或存在本章第</w:t>
      </w:r>
      <w:r>
        <w:rPr>
          <w:rFonts w:ascii="宋体" w:hAnsi="宋体"/>
          <w:color w:val="auto"/>
          <w:szCs w:val="21"/>
          <w:highlight w:val="none"/>
        </w:rPr>
        <w:t>3.3</w:t>
      </w:r>
      <w:r>
        <w:rPr>
          <w:rFonts w:hint="eastAsia" w:ascii="宋体" w:hAnsi="宋体"/>
          <w:color w:val="auto"/>
          <w:szCs w:val="21"/>
          <w:highlight w:val="none"/>
        </w:rPr>
        <w:t>款情形的；</w:t>
      </w:r>
    </w:p>
    <w:p w14:paraId="7D1C235E">
      <w:pPr>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）联合体不符合本章第</w:t>
      </w:r>
      <w:r>
        <w:rPr>
          <w:rFonts w:ascii="宋体" w:hAnsi="宋体"/>
          <w:color w:val="auto"/>
          <w:szCs w:val="21"/>
          <w:highlight w:val="none"/>
        </w:rPr>
        <w:t>3.2</w:t>
      </w:r>
      <w:r>
        <w:rPr>
          <w:rFonts w:hint="eastAsia" w:ascii="宋体" w:hAnsi="宋体"/>
          <w:color w:val="auto"/>
          <w:szCs w:val="21"/>
          <w:highlight w:val="none"/>
        </w:rPr>
        <w:t>款规定的；</w:t>
      </w:r>
    </w:p>
    <w:p w14:paraId="58FDD719">
      <w:pPr>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）应交未交磋商保证金或金额不足、磋商保证金缴纳形式不符合磋商文件要求的；</w:t>
      </w:r>
    </w:p>
    <w:p w14:paraId="17673A41">
      <w:pPr>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4</w:t>
      </w:r>
      <w:r>
        <w:rPr>
          <w:rFonts w:hint="eastAsia" w:ascii="宋体" w:hAnsi="宋体"/>
          <w:color w:val="auto"/>
          <w:szCs w:val="21"/>
          <w:highlight w:val="none"/>
        </w:rPr>
        <w:t>）响应文件未按照磋商文件要求签署、盖章的；</w:t>
      </w:r>
    </w:p>
    <w:p w14:paraId="54346E2F">
      <w:pPr>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4</w:t>
      </w:r>
      <w:r>
        <w:rPr>
          <w:rFonts w:hint="eastAsia" w:ascii="宋体" w:hAnsi="宋体"/>
          <w:color w:val="auto"/>
          <w:szCs w:val="21"/>
          <w:highlight w:val="none"/>
        </w:rPr>
        <w:t>）响应文件不满足本章第</w:t>
      </w:r>
      <w:r>
        <w:rPr>
          <w:rFonts w:ascii="宋体" w:hAnsi="宋体"/>
          <w:color w:val="auto"/>
          <w:szCs w:val="21"/>
          <w:highlight w:val="none"/>
        </w:rPr>
        <w:t>27.1</w:t>
      </w:r>
      <w:r>
        <w:rPr>
          <w:rFonts w:hint="eastAsia" w:ascii="宋体" w:hAnsi="宋体"/>
          <w:color w:val="auto"/>
          <w:szCs w:val="21"/>
          <w:highlight w:val="none"/>
        </w:rPr>
        <w:t>款规定的实质性要求的；</w:t>
      </w:r>
    </w:p>
    <w:p w14:paraId="2D02B015">
      <w:pPr>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5</w:t>
      </w:r>
      <w:r>
        <w:rPr>
          <w:rFonts w:hint="eastAsia" w:ascii="宋体" w:hAnsi="宋体"/>
          <w:color w:val="auto"/>
          <w:szCs w:val="21"/>
          <w:highlight w:val="none"/>
        </w:rPr>
        <w:t>）报价超过采购项目预算的；</w:t>
      </w:r>
    </w:p>
    <w:p w14:paraId="447AA44B">
      <w:pPr>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6</w:t>
      </w:r>
      <w:r>
        <w:rPr>
          <w:rFonts w:hint="eastAsia" w:ascii="宋体" w:hAnsi="宋体"/>
          <w:color w:val="auto"/>
          <w:szCs w:val="21"/>
          <w:highlight w:val="none"/>
        </w:rPr>
        <w:t>）响应文件有效期不足的；</w:t>
      </w:r>
    </w:p>
    <w:p w14:paraId="4B0A389B">
      <w:pPr>
        <w:adjustRightInd w:val="0"/>
        <w:snapToGrid w:val="0"/>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7</w:t>
      </w:r>
      <w:r>
        <w:rPr>
          <w:rFonts w:hint="eastAsia" w:ascii="宋体" w:hAnsi="宋体"/>
          <w:color w:val="auto"/>
          <w:szCs w:val="21"/>
          <w:highlight w:val="none"/>
        </w:rPr>
        <w:t>）响应文件不符合法律、规章、规范性文件和磋商文件规定及要求的。</w:t>
      </w:r>
    </w:p>
    <w:p w14:paraId="7BC5644C">
      <w:pPr>
        <w:widowControl/>
        <w:adjustRightInd w:val="0"/>
        <w:snapToGrid w:val="0"/>
        <w:spacing w:line="520" w:lineRule="exact"/>
        <w:jc w:val="left"/>
        <w:rPr>
          <w:rFonts w:ascii="宋体" w:hAnsi="宋体" w:cs="宋体"/>
          <w:b/>
          <w:color w:val="auto"/>
          <w:kern w:val="0"/>
          <w:szCs w:val="21"/>
          <w:highlight w:val="none"/>
        </w:rPr>
      </w:pPr>
      <w:r>
        <w:rPr>
          <w:rFonts w:ascii="宋体" w:hAnsi="宋体" w:cs="宋体"/>
          <w:b/>
          <w:color w:val="auto"/>
          <w:kern w:val="0"/>
          <w:szCs w:val="21"/>
          <w:highlight w:val="none"/>
        </w:rPr>
        <w:t>29.</w:t>
      </w:r>
      <w:r>
        <w:rPr>
          <w:rFonts w:hint="eastAsia" w:ascii="宋体" w:hAnsi="宋体" w:cs="宋体"/>
          <w:b/>
          <w:color w:val="auto"/>
          <w:kern w:val="0"/>
          <w:szCs w:val="21"/>
          <w:highlight w:val="none"/>
        </w:rPr>
        <w:t>澄清</w:t>
      </w:r>
    </w:p>
    <w:p w14:paraId="5BA90030">
      <w:pPr>
        <w:widowControl/>
        <w:adjustRightInd w:val="0"/>
        <w:snapToGrid w:val="0"/>
        <w:spacing w:line="520" w:lineRule="exact"/>
        <w:ind w:firstLine="420"/>
        <w:jc w:val="left"/>
        <w:rPr>
          <w:rFonts w:ascii="宋体" w:hAnsi="宋体" w:cs="宋体"/>
          <w:color w:val="auto"/>
          <w:kern w:val="0"/>
          <w:szCs w:val="21"/>
          <w:highlight w:val="none"/>
        </w:rPr>
      </w:pPr>
      <w:r>
        <w:rPr>
          <w:rFonts w:ascii="宋体" w:hAnsi="宋体" w:cs="宋体"/>
          <w:color w:val="auto"/>
          <w:kern w:val="0"/>
          <w:szCs w:val="21"/>
          <w:highlight w:val="none"/>
        </w:rPr>
        <w:t xml:space="preserve">29.1 </w:t>
      </w:r>
      <w:r>
        <w:rPr>
          <w:rFonts w:hint="eastAsia" w:ascii="宋体" w:hAnsi="宋体" w:cs="宋体"/>
          <w:color w:val="auto"/>
          <w:kern w:val="0"/>
          <w:szCs w:val="21"/>
          <w:highlight w:val="none"/>
        </w:rPr>
        <w:t>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1C17CC92">
      <w:pPr>
        <w:widowControl/>
        <w:adjustRightInd w:val="0"/>
        <w:snapToGrid w:val="0"/>
        <w:spacing w:line="520" w:lineRule="exact"/>
        <w:ind w:firstLine="420"/>
        <w:jc w:val="left"/>
        <w:rPr>
          <w:rFonts w:ascii="宋体" w:hAnsi="宋体" w:cs="宋体"/>
          <w:color w:val="auto"/>
          <w:kern w:val="0"/>
          <w:szCs w:val="21"/>
          <w:highlight w:val="none"/>
        </w:rPr>
      </w:pPr>
      <w:r>
        <w:rPr>
          <w:rFonts w:ascii="宋体" w:hAnsi="宋体" w:cs="宋体"/>
          <w:color w:val="auto"/>
          <w:kern w:val="0"/>
          <w:szCs w:val="21"/>
          <w:highlight w:val="none"/>
        </w:rPr>
        <w:t xml:space="preserve">29.2 </w:t>
      </w:r>
      <w:r>
        <w:rPr>
          <w:rFonts w:hint="eastAsia" w:ascii="宋体" w:hAnsi="宋体" w:cs="宋体"/>
          <w:color w:val="auto"/>
          <w:kern w:val="0"/>
          <w:szCs w:val="21"/>
          <w:highlight w:val="none"/>
        </w:rPr>
        <w:t>最后报价计算错误修正的原则：最后报价</w:t>
      </w:r>
      <w:r>
        <w:rPr>
          <w:rFonts w:hint="eastAsia" w:ascii="宋体" w:hAnsi="宋体" w:cs="Arial"/>
          <w:color w:val="auto"/>
          <w:kern w:val="0"/>
          <w:szCs w:val="21"/>
          <w:highlight w:val="none"/>
        </w:rPr>
        <w:t>的大写金额和小写金额不一致的，以大写金额为准；总价金额与按分项报价汇总金额不一致的，以分项报价金额计算结果为准；分项报价金额小数点有明显错位的，应以总价为准，并修改分项报价。</w:t>
      </w:r>
    </w:p>
    <w:p w14:paraId="78AF643B">
      <w:pPr>
        <w:widowControl/>
        <w:adjustRightInd w:val="0"/>
        <w:snapToGrid w:val="0"/>
        <w:spacing w:line="520" w:lineRule="exact"/>
        <w:jc w:val="left"/>
        <w:rPr>
          <w:rFonts w:ascii="宋体" w:hAnsi="宋体" w:cs="宋体"/>
          <w:b/>
          <w:color w:val="auto"/>
          <w:kern w:val="0"/>
          <w:szCs w:val="21"/>
          <w:highlight w:val="none"/>
        </w:rPr>
      </w:pPr>
      <w:r>
        <w:rPr>
          <w:rFonts w:ascii="宋体" w:hAnsi="宋体" w:cs="宋体"/>
          <w:b/>
          <w:color w:val="auto"/>
          <w:kern w:val="0"/>
          <w:szCs w:val="21"/>
          <w:highlight w:val="none"/>
        </w:rPr>
        <w:t>30.</w:t>
      </w:r>
      <w:r>
        <w:rPr>
          <w:rFonts w:hint="eastAsia" w:ascii="宋体" w:hAnsi="宋体" w:cs="宋体"/>
          <w:b/>
          <w:color w:val="auto"/>
          <w:kern w:val="0"/>
          <w:szCs w:val="21"/>
          <w:highlight w:val="none"/>
        </w:rPr>
        <w:t>磋商</w:t>
      </w:r>
    </w:p>
    <w:p w14:paraId="66F10A8F">
      <w:pPr>
        <w:widowControl/>
        <w:adjustRightInd w:val="0"/>
        <w:snapToGrid w:val="0"/>
        <w:spacing w:line="520" w:lineRule="exact"/>
        <w:ind w:firstLine="420"/>
        <w:jc w:val="left"/>
        <w:rPr>
          <w:rFonts w:ascii="宋体" w:hAnsi="宋体" w:cs="宋体"/>
          <w:color w:val="auto"/>
          <w:kern w:val="0"/>
          <w:szCs w:val="21"/>
          <w:highlight w:val="none"/>
          <w:lang w:val="zh-CN"/>
        </w:rPr>
      </w:pPr>
      <w:r>
        <w:rPr>
          <w:rFonts w:ascii="宋体" w:hAnsi="宋体" w:cs="宋体"/>
          <w:color w:val="auto"/>
          <w:kern w:val="0"/>
          <w:szCs w:val="21"/>
          <w:highlight w:val="none"/>
        </w:rPr>
        <w:t>30.1</w:t>
      </w:r>
      <w:r>
        <w:rPr>
          <w:rFonts w:hint="eastAsia" w:ascii="宋体" w:hAnsi="宋体"/>
          <w:color w:val="auto"/>
          <w:highlight w:val="none"/>
        </w:rPr>
        <w:t>本章第</w:t>
      </w:r>
      <w:r>
        <w:rPr>
          <w:rFonts w:ascii="宋体" w:hAnsi="宋体"/>
          <w:color w:val="auto"/>
          <w:highlight w:val="none"/>
        </w:rPr>
        <w:t>10.2</w:t>
      </w:r>
      <w:r>
        <w:rPr>
          <w:rFonts w:hint="eastAsia" w:ascii="宋体" w:hAnsi="宋体"/>
          <w:color w:val="auto"/>
          <w:highlight w:val="none"/>
        </w:rPr>
        <w:t>项</w:t>
      </w:r>
      <w:r>
        <w:rPr>
          <w:rFonts w:hint="eastAsia" w:ascii="宋体" w:hAnsi="宋体" w:cs="宋体"/>
          <w:color w:val="auto"/>
          <w:kern w:val="0"/>
          <w:szCs w:val="21"/>
          <w:highlight w:val="none"/>
        </w:rPr>
        <w:t>未明确磋商文件实质性变动内容的，或者磋商文件明确了可能发生实质性变动内容，但在磋商过程中，</w:t>
      </w:r>
      <w:r>
        <w:rPr>
          <w:rFonts w:hint="eastAsia" w:ascii="宋体" w:hAnsi="宋体"/>
          <w:bCs/>
          <w:color w:val="auto"/>
          <w:szCs w:val="21"/>
          <w:highlight w:val="none"/>
        </w:rPr>
        <w:t>磋商小组</w:t>
      </w:r>
      <w:r>
        <w:rPr>
          <w:rFonts w:hint="eastAsia" w:ascii="宋体" w:hAnsi="宋体" w:cs="Arial"/>
          <w:color w:val="auto"/>
          <w:kern w:val="0"/>
          <w:szCs w:val="21"/>
          <w:highlight w:val="none"/>
        </w:rPr>
        <w:t>根据</w:t>
      </w:r>
      <w:r>
        <w:rPr>
          <w:rFonts w:hint="eastAsia" w:ascii="宋体" w:hAnsi="宋体" w:cs="宋体"/>
          <w:color w:val="auto"/>
          <w:kern w:val="0"/>
          <w:szCs w:val="21"/>
          <w:highlight w:val="none"/>
        </w:rPr>
        <w:t>磋商情况</w:t>
      </w:r>
      <w:r>
        <w:rPr>
          <w:rFonts w:hint="eastAsia" w:ascii="宋体" w:hAnsi="宋体"/>
          <w:bCs/>
          <w:color w:val="auto"/>
          <w:szCs w:val="21"/>
          <w:highlight w:val="none"/>
        </w:rPr>
        <w:t>认为</w:t>
      </w:r>
      <w:r>
        <w:rPr>
          <w:rFonts w:hint="eastAsia" w:ascii="宋体" w:hAnsi="宋体" w:cs="宋体"/>
          <w:color w:val="auto"/>
          <w:kern w:val="0"/>
          <w:szCs w:val="21"/>
          <w:highlight w:val="none"/>
        </w:rPr>
        <w:t>磋商文件无需发生实质性变动的，磋商小组应当直接与响应文件审查合格的供应商就价格组织多轮磋商。</w:t>
      </w:r>
    </w:p>
    <w:p w14:paraId="014475E3">
      <w:pPr>
        <w:widowControl/>
        <w:tabs>
          <w:tab w:val="left" w:pos="1080"/>
          <w:tab w:val="left" w:pos="1260"/>
        </w:tabs>
        <w:adjustRightInd w:val="0"/>
        <w:snapToGrid w:val="0"/>
        <w:spacing w:line="520" w:lineRule="exact"/>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1</w:t>
      </w:r>
      <w:r>
        <w:rPr>
          <w:rFonts w:hint="eastAsia" w:ascii="宋体" w:hAnsi="宋体" w:cs="宋体"/>
          <w:color w:val="auto"/>
          <w:kern w:val="0"/>
          <w:szCs w:val="21"/>
          <w:highlight w:val="none"/>
        </w:rPr>
        <w:t>）磋商结束后，磋商小组应当要求所有继续参加磋商的供应商在磋商小组规定时间内提交最后报价。</w:t>
      </w:r>
    </w:p>
    <w:p w14:paraId="3D93FEE6">
      <w:pPr>
        <w:widowControl/>
        <w:tabs>
          <w:tab w:val="left" w:pos="1080"/>
          <w:tab w:val="left" w:pos="1260"/>
        </w:tabs>
        <w:adjustRightInd w:val="0"/>
        <w:snapToGrid w:val="0"/>
        <w:spacing w:line="520" w:lineRule="exact"/>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2</w:t>
      </w:r>
      <w:r>
        <w:rPr>
          <w:rFonts w:hint="eastAsia" w:ascii="宋体" w:hAnsi="宋体" w:cs="宋体"/>
          <w:color w:val="auto"/>
          <w:kern w:val="0"/>
          <w:szCs w:val="21"/>
          <w:highlight w:val="none"/>
        </w:rPr>
        <w:t>）磋商文件明确可能发生实质性变动，但在磋商过程中</w:t>
      </w:r>
      <w:r>
        <w:rPr>
          <w:rFonts w:hint="eastAsia" w:ascii="宋体" w:hAnsi="宋体"/>
          <w:bCs/>
          <w:color w:val="auto"/>
          <w:szCs w:val="21"/>
          <w:highlight w:val="none"/>
        </w:rPr>
        <w:t>磋商小组</w:t>
      </w:r>
      <w:r>
        <w:rPr>
          <w:rFonts w:hint="eastAsia" w:ascii="宋体" w:hAnsi="宋体" w:cs="Arial"/>
          <w:color w:val="auto"/>
          <w:kern w:val="0"/>
          <w:szCs w:val="21"/>
          <w:highlight w:val="none"/>
        </w:rPr>
        <w:t>根据</w:t>
      </w:r>
      <w:r>
        <w:rPr>
          <w:rFonts w:hint="eastAsia" w:ascii="宋体" w:hAnsi="宋体" w:cs="宋体"/>
          <w:color w:val="auto"/>
          <w:kern w:val="0"/>
          <w:szCs w:val="21"/>
          <w:highlight w:val="none"/>
        </w:rPr>
        <w:t>磋商情况</w:t>
      </w:r>
      <w:r>
        <w:rPr>
          <w:rFonts w:hint="eastAsia" w:ascii="宋体" w:hAnsi="宋体"/>
          <w:bCs/>
          <w:color w:val="auto"/>
          <w:szCs w:val="21"/>
          <w:highlight w:val="none"/>
        </w:rPr>
        <w:t>认为</w:t>
      </w:r>
      <w:r>
        <w:rPr>
          <w:rFonts w:hint="eastAsia" w:ascii="宋体" w:hAnsi="宋体" w:cs="宋体"/>
          <w:color w:val="auto"/>
          <w:kern w:val="0"/>
          <w:szCs w:val="21"/>
          <w:highlight w:val="none"/>
        </w:rPr>
        <w:t>磋商文件无需发生实质性变动的，磋商小组不另行通知。</w:t>
      </w:r>
    </w:p>
    <w:p w14:paraId="7397C31B">
      <w:pPr>
        <w:widowControl/>
        <w:adjustRightInd w:val="0"/>
        <w:snapToGrid w:val="0"/>
        <w:spacing w:line="520" w:lineRule="exact"/>
        <w:ind w:firstLine="420"/>
        <w:jc w:val="left"/>
        <w:rPr>
          <w:rFonts w:ascii="宋体" w:hAnsi="宋体" w:cs="宋体"/>
          <w:color w:val="auto"/>
          <w:kern w:val="0"/>
          <w:szCs w:val="21"/>
          <w:highlight w:val="none"/>
        </w:rPr>
      </w:pPr>
      <w:r>
        <w:rPr>
          <w:rFonts w:ascii="宋体" w:hAnsi="宋体" w:cs="宋体"/>
          <w:color w:val="auto"/>
          <w:kern w:val="0"/>
          <w:szCs w:val="21"/>
          <w:highlight w:val="none"/>
        </w:rPr>
        <w:t>30.2</w:t>
      </w:r>
      <w:r>
        <w:rPr>
          <w:rFonts w:hint="eastAsia" w:ascii="宋体" w:hAnsi="宋体"/>
          <w:color w:val="auto"/>
          <w:highlight w:val="none"/>
        </w:rPr>
        <w:t>本章第</w:t>
      </w:r>
      <w:r>
        <w:rPr>
          <w:rFonts w:ascii="宋体" w:hAnsi="宋体"/>
          <w:color w:val="auto"/>
          <w:highlight w:val="none"/>
        </w:rPr>
        <w:t>10.2</w:t>
      </w:r>
      <w:r>
        <w:rPr>
          <w:rFonts w:hint="eastAsia" w:ascii="宋体" w:hAnsi="宋体" w:cs="宋体"/>
          <w:color w:val="auto"/>
          <w:kern w:val="0"/>
          <w:szCs w:val="21"/>
          <w:highlight w:val="none"/>
          <w:lang w:val="zh-CN"/>
        </w:rPr>
        <w:t>款</w:t>
      </w:r>
      <w:r>
        <w:rPr>
          <w:rFonts w:hint="eastAsia" w:ascii="宋体" w:hAnsi="宋体" w:cs="宋体"/>
          <w:color w:val="auto"/>
          <w:kern w:val="0"/>
          <w:szCs w:val="21"/>
          <w:highlight w:val="none"/>
        </w:rPr>
        <w:t>明确磋商文件实质性变动内容的，</w:t>
      </w:r>
      <w:r>
        <w:rPr>
          <w:rFonts w:hint="eastAsia" w:ascii="宋体" w:hAnsi="宋体"/>
          <w:bCs/>
          <w:color w:val="auto"/>
          <w:szCs w:val="21"/>
          <w:highlight w:val="none"/>
        </w:rPr>
        <w:t>磋商小组</w:t>
      </w:r>
      <w:r>
        <w:rPr>
          <w:rFonts w:hint="eastAsia" w:ascii="宋体" w:hAnsi="宋体" w:cs="宋体"/>
          <w:color w:val="auto"/>
          <w:kern w:val="0"/>
          <w:szCs w:val="21"/>
          <w:highlight w:val="none"/>
        </w:rPr>
        <w:t>可以组织多轮磋商。</w:t>
      </w:r>
      <w:r>
        <w:rPr>
          <w:rFonts w:hint="eastAsia" w:ascii="宋体" w:hAnsi="宋体"/>
          <w:bCs/>
          <w:color w:val="auto"/>
          <w:szCs w:val="21"/>
          <w:highlight w:val="none"/>
        </w:rPr>
        <w:t>在每一轮磋商中，磋商小组</w:t>
      </w:r>
      <w:r>
        <w:rPr>
          <w:rFonts w:hint="eastAsia" w:ascii="宋体" w:hAnsi="宋体" w:cs="宋体"/>
          <w:color w:val="auto"/>
          <w:kern w:val="0"/>
          <w:szCs w:val="21"/>
          <w:highlight w:val="none"/>
        </w:rPr>
        <w:t>可以</w:t>
      </w:r>
      <w:r>
        <w:rPr>
          <w:rFonts w:hint="eastAsia" w:ascii="宋体" w:hAnsi="宋体" w:cs="Arial"/>
          <w:color w:val="auto"/>
          <w:kern w:val="0"/>
          <w:szCs w:val="21"/>
          <w:highlight w:val="none"/>
        </w:rPr>
        <w:t>根据</w:t>
      </w:r>
      <w:r>
        <w:rPr>
          <w:rFonts w:hint="eastAsia" w:ascii="宋体" w:hAnsi="宋体" w:cs="宋体"/>
          <w:color w:val="auto"/>
          <w:kern w:val="0"/>
          <w:szCs w:val="21"/>
          <w:highlight w:val="none"/>
        </w:rPr>
        <w:t>磋商文件规定和磋商情况，</w:t>
      </w:r>
      <w:r>
        <w:rPr>
          <w:rFonts w:hint="eastAsia" w:ascii="宋体" w:hAnsi="宋体"/>
          <w:bCs/>
          <w:color w:val="auto"/>
          <w:szCs w:val="21"/>
          <w:highlight w:val="none"/>
        </w:rPr>
        <w:t>对磋商文件的</w:t>
      </w:r>
      <w:r>
        <w:rPr>
          <w:rFonts w:hint="eastAsia" w:ascii="宋体" w:hAnsi="宋体" w:cs="宋体"/>
          <w:color w:val="auto"/>
          <w:kern w:val="0"/>
          <w:szCs w:val="21"/>
          <w:highlight w:val="none"/>
        </w:rPr>
        <w:t>采购需求中的技术、服务要求以及合同草案条款</w:t>
      </w:r>
      <w:r>
        <w:rPr>
          <w:rFonts w:hint="eastAsia" w:ascii="宋体" w:hAnsi="宋体"/>
          <w:bCs/>
          <w:color w:val="auto"/>
          <w:szCs w:val="21"/>
          <w:highlight w:val="none"/>
        </w:rPr>
        <w:t>作实质性变动</w:t>
      </w:r>
      <w:r>
        <w:rPr>
          <w:rFonts w:ascii="宋体" w:hAnsi="宋体"/>
          <w:bCs/>
          <w:color w:val="auto"/>
          <w:szCs w:val="21"/>
          <w:highlight w:val="none"/>
        </w:rPr>
        <w:t>(</w:t>
      </w:r>
      <w:r>
        <w:rPr>
          <w:rFonts w:hint="eastAsia" w:ascii="宋体" w:hAnsi="宋体"/>
          <w:bCs/>
          <w:color w:val="auto"/>
          <w:szCs w:val="21"/>
          <w:highlight w:val="none"/>
        </w:rPr>
        <w:t>磋商文件的实质性变动内容为磋商文件的组成部分</w:t>
      </w:r>
      <w:r>
        <w:rPr>
          <w:rFonts w:ascii="宋体" w:hAnsi="宋体"/>
          <w:bCs/>
          <w:color w:val="auto"/>
          <w:szCs w:val="21"/>
          <w:highlight w:val="none"/>
        </w:rPr>
        <w:t>)</w:t>
      </w:r>
      <w:r>
        <w:rPr>
          <w:rFonts w:hint="eastAsia" w:ascii="宋体" w:hAnsi="宋体"/>
          <w:bCs/>
          <w:color w:val="auto"/>
          <w:szCs w:val="21"/>
          <w:highlight w:val="none"/>
        </w:rPr>
        <w:t>，并以书面形式要求</w:t>
      </w:r>
      <w:r>
        <w:rPr>
          <w:rFonts w:hint="eastAsia" w:ascii="宋体" w:hAnsi="宋体" w:cs="宋体"/>
          <w:color w:val="auto"/>
          <w:kern w:val="0"/>
          <w:szCs w:val="21"/>
          <w:highlight w:val="none"/>
        </w:rPr>
        <w:t>响应文件审查合格</w:t>
      </w:r>
      <w:r>
        <w:rPr>
          <w:rFonts w:hint="eastAsia" w:ascii="宋体" w:hAnsi="宋体"/>
          <w:bCs/>
          <w:color w:val="auto"/>
          <w:szCs w:val="21"/>
          <w:highlight w:val="none"/>
        </w:rPr>
        <w:t>的供应商，在规定的</w:t>
      </w:r>
      <w:r>
        <w:rPr>
          <w:rFonts w:hint="eastAsia" w:ascii="宋体" w:hAnsi="宋体" w:cs="宋体"/>
          <w:color w:val="auto"/>
          <w:kern w:val="0"/>
          <w:szCs w:val="21"/>
          <w:highlight w:val="none"/>
        </w:rPr>
        <w:t>截止时间前</w:t>
      </w:r>
      <w:r>
        <w:rPr>
          <w:rFonts w:hint="eastAsia" w:ascii="宋体" w:hAnsi="宋体"/>
          <w:bCs/>
          <w:color w:val="auto"/>
          <w:szCs w:val="21"/>
          <w:highlight w:val="none"/>
        </w:rPr>
        <w:t>重</w:t>
      </w:r>
      <w:r>
        <w:rPr>
          <w:rFonts w:hint="eastAsia" w:ascii="宋体" w:hAnsi="宋体" w:cs="宋体"/>
          <w:color w:val="auto"/>
          <w:kern w:val="0"/>
          <w:szCs w:val="21"/>
          <w:highlight w:val="none"/>
        </w:rPr>
        <w:t>新提交响应文件</w:t>
      </w:r>
      <w:r>
        <w:rPr>
          <w:rFonts w:hint="eastAsia" w:ascii="宋体" w:hAnsi="宋体"/>
          <w:bCs/>
          <w:color w:val="auto"/>
          <w:szCs w:val="21"/>
          <w:highlight w:val="none"/>
        </w:rPr>
        <w:t>。</w:t>
      </w:r>
      <w:r>
        <w:rPr>
          <w:rFonts w:hint="eastAsia" w:ascii="宋体" w:hAnsi="宋体" w:cs="宋体"/>
          <w:color w:val="auto"/>
          <w:kern w:val="0"/>
          <w:szCs w:val="21"/>
          <w:highlight w:val="none"/>
        </w:rPr>
        <w:t>磋商小组应当</w:t>
      </w:r>
      <w:r>
        <w:rPr>
          <w:rFonts w:hint="eastAsia" w:ascii="宋体" w:hAnsi="宋体"/>
          <w:color w:val="auto"/>
          <w:szCs w:val="21"/>
          <w:highlight w:val="none"/>
        </w:rPr>
        <w:t>根据本章第</w:t>
      </w:r>
      <w:r>
        <w:rPr>
          <w:rFonts w:ascii="宋体" w:hAnsi="宋体"/>
          <w:color w:val="auto"/>
          <w:szCs w:val="21"/>
          <w:highlight w:val="none"/>
        </w:rPr>
        <w:t>26.2</w:t>
      </w:r>
      <w:r>
        <w:rPr>
          <w:rFonts w:hint="eastAsia" w:ascii="宋体" w:hAnsi="宋体" w:cs="宋体"/>
          <w:color w:val="auto"/>
          <w:kern w:val="0"/>
          <w:szCs w:val="21"/>
          <w:highlight w:val="none"/>
          <w:lang w:val="zh-CN"/>
        </w:rPr>
        <w:t>款</w:t>
      </w:r>
      <w:r>
        <w:rPr>
          <w:rFonts w:hint="eastAsia" w:ascii="宋体" w:hAnsi="宋体"/>
          <w:color w:val="auto"/>
          <w:szCs w:val="21"/>
          <w:highlight w:val="none"/>
        </w:rPr>
        <w:t>规定</w:t>
      </w:r>
      <w:r>
        <w:rPr>
          <w:rFonts w:hint="eastAsia" w:ascii="宋体" w:hAnsi="宋体" w:cs="宋体"/>
          <w:color w:val="auto"/>
          <w:kern w:val="0"/>
          <w:szCs w:val="21"/>
          <w:highlight w:val="none"/>
        </w:rPr>
        <w:t>对供应商重新提交的响应文件进行审查。供应商重新提交的响应文件审查不合格的，不得进入下一轮磋商，也不得要求提交最后报价。</w:t>
      </w:r>
    </w:p>
    <w:p w14:paraId="5BA9FA74">
      <w:pPr>
        <w:adjustRightInd w:val="0"/>
        <w:snapToGrid w:val="0"/>
        <w:spacing w:line="52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1</w:t>
      </w:r>
      <w:r>
        <w:rPr>
          <w:rFonts w:hint="eastAsia" w:ascii="宋体" w:hAnsi="宋体" w:cs="宋体"/>
          <w:color w:val="auto"/>
          <w:kern w:val="0"/>
          <w:szCs w:val="21"/>
          <w:highlight w:val="none"/>
        </w:rPr>
        <w:t>）磋商文件能够详细列明采购需求的技术、服务要求的，磋商结束后，磋商小组应当要求所有继续参加磋商的供应商在规定时间内提交最后报价。</w:t>
      </w:r>
    </w:p>
    <w:p w14:paraId="4CCAFF43">
      <w:pPr>
        <w:widowControl/>
        <w:adjustRightInd w:val="0"/>
        <w:snapToGrid w:val="0"/>
        <w:spacing w:line="520" w:lineRule="exact"/>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2</w:t>
      </w:r>
      <w:r>
        <w:rPr>
          <w:rFonts w:hint="eastAsia" w:ascii="宋体" w:hAnsi="宋体" w:cs="宋体"/>
          <w:color w:val="auto"/>
          <w:kern w:val="0"/>
          <w:szCs w:val="21"/>
          <w:highlight w:val="none"/>
        </w:rPr>
        <w:t>）磋商文件不能详细列明采购需求的技术、服务要求，需经磋商由供应商提供最终设计方案或解决方案的，磋商结束后，磋商小组应当按照少数服从多数的原则投票推荐</w:t>
      </w:r>
      <w:r>
        <w:rPr>
          <w:rFonts w:ascii="宋体" w:hAnsi="宋体" w:cs="宋体"/>
          <w:color w:val="auto"/>
          <w:kern w:val="0"/>
          <w:szCs w:val="21"/>
          <w:highlight w:val="none"/>
        </w:rPr>
        <w:t>3</w:t>
      </w:r>
      <w:r>
        <w:rPr>
          <w:rFonts w:hint="eastAsia" w:ascii="宋体" w:hAnsi="宋体" w:cs="宋体"/>
          <w:color w:val="auto"/>
          <w:kern w:val="0"/>
          <w:szCs w:val="21"/>
          <w:highlight w:val="none"/>
        </w:rPr>
        <w:t>家以上供应商的设计方案或者解决方案，并要求其在规定时间内提交最后报价。</w:t>
      </w:r>
    </w:p>
    <w:p w14:paraId="0DBECEB4">
      <w:pPr>
        <w:widowControl/>
        <w:adjustRightInd w:val="0"/>
        <w:snapToGrid w:val="0"/>
        <w:spacing w:line="520" w:lineRule="exact"/>
        <w:ind w:firstLine="420"/>
        <w:jc w:val="left"/>
        <w:rPr>
          <w:rFonts w:ascii="宋体" w:hAnsi="宋体"/>
          <w:bCs/>
          <w:color w:val="auto"/>
          <w:szCs w:val="21"/>
          <w:highlight w:val="none"/>
        </w:rPr>
      </w:pPr>
      <w:r>
        <w:rPr>
          <w:rFonts w:ascii="宋体" w:hAnsi="宋体"/>
          <w:bCs/>
          <w:color w:val="auto"/>
          <w:szCs w:val="21"/>
          <w:highlight w:val="none"/>
        </w:rPr>
        <w:t>30.3</w:t>
      </w:r>
      <w:r>
        <w:rPr>
          <w:rFonts w:ascii="宋体" w:hAnsi="宋体"/>
          <w:color w:val="auto"/>
          <w:highlight w:val="none"/>
        </w:rPr>
        <w:t xml:space="preserve"> </w:t>
      </w:r>
      <w:r>
        <w:rPr>
          <w:rFonts w:hint="eastAsia" w:ascii="宋体" w:hAnsi="宋体"/>
          <w:bCs/>
          <w:color w:val="auto"/>
          <w:highlight w:val="none"/>
        </w:rPr>
        <w:t>重</w:t>
      </w:r>
      <w:r>
        <w:rPr>
          <w:rFonts w:hint="eastAsia" w:ascii="宋体" w:hAnsi="宋体" w:cs="宋体"/>
          <w:color w:val="auto"/>
          <w:kern w:val="0"/>
          <w:highlight w:val="none"/>
        </w:rPr>
        <w:t>新提交的响应文件</w:t>
      </w:r>
      <w:r>
        <w:rPr>
          <w:rFonts w:hint="eastAsia" w:ascii="宋体" w:hAnsi="宋体"/>
          <w:color w:val="auto"/>
          <w:highlight w:val="none"/>
        </w:rPr>
        <w:t>或者最后报价应按</w:t>
      </w:r>
      <w:r>
        <w:rPr>
          <w:rFonts w:hint="eastAsia" w:ascii="宋体" w:hAnsi="宋体" w:cs="宋体"/>
          <w:color w:val="auto"/>
          <w:kern w:val="0"/>
          <w:szCs w:val="21"/>
          <w:highlight w:val="none"/>
        </w:rPr>
        <w:t>本章第</w:t>
      </w:r>
      <w:r>
        <w:rPr>
          <w:rFonts w:ascii="宋体" w:hAnsi="宋体"/>
          <w:color w:val="auto"/>
          <w:highlight w:val="none"/>
        </w:rPr>
        <w:t>21.3</w:t>
      </w:r>
      <w:r>
        <w:rPr>
          <w:rFonts w:hint="eastAsia" w:ascii="宋体" w:hAnsi="宋体" w:cs="宋体"/>
          <w:color w:val="auto"/>
          <w:kern w:val="0"/>
          <w:szCs w:val="21"/>
          <w:highlight w:val="none"/>
          <w:lang w:val="zh-CN"/>
        </w:rPr>
        <w:t>款</w:t>
      </w:r>
      <w:r>
        <w:rPr>
          <w:rFonts w:hint="eastAsia" w:ascii="宋体" w:hAnsi="宋体"/>
          <w:color w:val="auto"/>
          <w:highlight w:val="none"/>
        </w:rPr>
        <w:t>规定，</w:t>
      </w:r>
      <w:r>
        <w:rPr>
          <w:rFonts w:hint="eastAsia" w:ascii="宋体" w:hAnsi="宋体" w:cs="宋体"/>
          <w:color w:val="auto"/>
          <w:kern w:val="0"/>
          <w:szCs w:val="21"/>
          <w:highlight w:val="none"/>
        </w:rPr>
        <w:t>由其法定代表人或其委托代理人签字或者加盖</w:t>
      </w:r>
      <w:r>
        <w:rPr>
          <w:rFonts w:hint="eastAsia" w:ascii="宋体" w:hAnsi="宋体" w:cs="宋体"/>
          <w:color w:val="auto"/>
          <w:kern w:val="0"/>
          <w:highlight w:val="none"/>
        </w:rPr>
        <w:t>供应商单位</w:t>
      </w:r>
      <w:r>
        <w:rPr>
          <w:rFonts w:hint="eastAsia" w:ascii="宋体" w:hAnsi="宋体" w:cs="宋体"/>
          <w:color w:val="auto"/>
          <w:kern w:val="0"/>
          <w:szCs w:val="21"/>
          <w:highlight w:val="none"/>
        </w:rPr>
        <w:t>章，在规定时间内密封递交给磋商小组</w:t>
      </w:r>
      <w:r>
        <w:rPr>
          <w:rFonts w:hint="eastAsia" w:ascii="宋体" w:hAnsi="宋体"/>
          <w:bCs/>
          <w:color w:val="auto"/>
          <w:szCs w:val="21"/>
          <w:highlight w:val="none"/>
        </w:rPr>
        <w:t>。</w:t>
      </w:r>
    </w:p>
    <w:p w14:paraId="7B19300A">
      <w:pPr>
        <w:widowControl/>
        <w:adjustRightInd w:val="0"/>
        <w:snapToGrid w:val="0"/>
        <w:spacing w:line="520" w:lineRule="exact"/>
        <w:ind w:firstLine="420"/>
        <w:jc w:val="left"/>
        <w:rPr>
          <w:rFonts w:ascii="宋体" w:hAnsi="宋体" w:cs="宋体"/>
          <w:color w:val="auto"/>
          <w:kern w:val="0"/>
          <w:szCs w:val="21"/>
          <w:highlight w:val="none"/>
        </w:rPr>
      </w:pPr>
      <w:r>
        <w:rPr>
          <w:rFonts w:ascii="宋体" w:hAnsi="宋体" w:cs="宋体"/>
          <w:color w:val="auto"/>
          <w:kern w:val="0"/>
          <w:szCs w:val="21"/>
          <w:highlight w:val="none"/>
        </w:rPr>
        <w:t>30.4</w:t>
      </w:r>
      <w:r>
        <w:rPr>
          <w:rFonts w:hint="eastAsia" w:ascii="宋体" w:hAnsi="宋体" w:cs="宋体"/>
          <w:color w:val="auto"/>
          <w:kern w:val="0"/>
          <w:szCs w:val="21"/>
          <w:highlight w:val="none"/>
          <w:lang w:val="zh-CN"/>
        </w:rPr>
        <w:t>供应商的</w:t>
      </w:r>
      <w:r>
        <w:rPr>
          <w:rFonts w:hint="eastAsia" w:ascii="宋体" w:hAnsi="宋体"/>
          <w:bCs/>
          <w:color w:val="auto"/>
          <w:szCs w:val="21"/>
          <w:highlight w:val="none"/>
        </w:rPr>
        <w:t>最</w:t>
      </w:r>
      <w:r>
        <w:rPr>
          <w:rFonts w:hint="eastAsia" w:ascii="宋体" w:hAnsi="宋体" w:cs="宋体"/>
          <w:color w:val="auto"/>
          <w:kern w:val="0"/>
          <w:szCs w:val="21"/>
          <w:highlight w:val="none"/>
          <w:lang w:val="zh-CN"/>
        </w:rPr>
        <w:t>后</w:t>
      </w:r>
      <w:r>
        <w:rPr>
          <w:rFonts w:hint="eastAsia" w:ascii="宋体" w:hAnsi="宋体"/>
          <w:bCs/>
          <w:color w:val="auto"/>
          <w:szCs w:val="21"/>
          <w:highlight w:val="none"/>
        </w:rPr>
        <w:t>报价及</w:t>
      </w:r>
      <w:r>
        <w:rPr>
          <w:rFonts w:hint="eastAsia" w:ascii="宋体" w:hAnsi="宋体" w:cs="宋体"/>
          <w:color w:val="auto"/>
          <w:kern w:val="0"/>
          <w:szCs w:val="21"/>
          <w:highlight w:val="none"/>
        </w:rPr>
        <w:t>政府采购政策规定的价格扣除情况，磋商小组应召集所有参加最后报价的供应商当场开封</w:t>
      </w:r>
      <w:r>
        <w:rPr>
          <w:rFonts w:hint="eastAsia" w:ascii="宋体" w:hAnsi="宋体"/>
          <w:bCs/>
          <w:color w:val="auto"/>
          <w:szCs w:val="21"/>
          <w:highlight w:val="none"/>
        </w:rPr>
        <w:t>公布，并由供应商代表签字确认。</w:t>
      </w:r>
    </w:p>
    <w:p w14:paraId="0B50A81A">
      <w:pPr>
        <w:widowControl/>
        <w:adjustRightInd w:val="0"/>
        <w:snapToGrid w:val="0"/>
        <w:spacing w:line="520" w:lineRule="exact"/>
        <w:ind w:firstLine="420"/>
        <w:jc w:val="left"/>
        <w:rPr>
          <w:rFonts w:ascii="宋体" w:hAnsi="宋体" w:cs="宋体"/>
          <w:color w:val="auto"/>
          <w:kern w:val="0"/>
          <w:szCs w:val="21"/>
          <w:highlight w:val="none"/>
        </w:rPr>
      </w:pPr>
      <w:r>
        <w:rPr>
          <w:rFonts w:ascii="宋体" w:hAnsi="宋体" w:cs="宋体"/>
          <w:color w:val="auto"/>
          <w:kern w:val="0"/>
          <w:szCs w:val="21"/>
          <w:highlight w:val="none"/>
        </w:rPr>
        <w:t>30.5</w:t>
      </w:r>
      <w:r>
        <w:rPr>
          <w:rFonts w:hint="eastAsia" w:ascii="宋体" w:hAnsi="宋体" w:cs="宋体"/>
          <w:color w:val="auto"/>
          <w:kern w:val="0"/>
          <w:szCs w:val="21"/>
          <w:highlight w:val="none"/>
        </w:rPr>
        <w:t>提交首次响应文件的供应商，在提交最后报价之前，可以根据磋商情况退出磋商，</w:t>
      </w:r>
      <w:r>
        <w:rPr>
          <w:rFonts w:hint="eastAsia" w:ascii="宋体" w:hAnsi="宋体" w:cs="宋体"/>
          <w:color w:val="auto"/>
          <w:kern w:val="0"/>
          <w:highlight w:val="none"/>
        </w:rPr>
        <w:t>并书面通知采购代理机构或者磋商小组。</w:t>
      </w:r>
      <w:r>
        <w:rPr>
          <w:rFonts w:hint="eastAsia" w:ascii="宋体" w:hAnsi="宋体"/>
          <w:color w:val="auto"/>
          <w:highlight w:val="none"/>
        </w:rPr>
        <w:t>该通知由供应商法定代表人或其委托代理人签字。</w:t>
      </w:r>
      <w:r>
        <w:rPr>
          <w:rFonts w:hint="eastAsia" w:ascii="宋体" w:hAnsi="宋体" w:cs="宋体"/>
          <w:color w:val="auto"/>
          <w:kern w:val="0"/>
          <w:szCs w:val="21"/>
          <w:highlight w:val="none"/>
        </w:rPr>
        <w:t>采购代理机构</w:t>
      </w:r>
      <w:r>
        <w:rPr>
          <w:rFonts w:hint="eastAsia" w:ascii="宋体" w:hAnsi="宋体" w:cs="宋体"/>
          <w:color w:val="auto"/>
          <w:kern w:val="0"/>
          <w:highlight w:val="none"/>
        </w:rPr>
        <w:t>按</w:t>
      </w:r>
      <w:r>
        <w:rPr>
          <w:rFonts w:hint="eastAsia" w:ascii="宋体" w:hAnsi="宋体" w:cs="宋体"/>
          <w:color w:val="auto"/>
          <w:kern w:val="0"/>
          <w:szCs w:val="21"/>
          <w:highlight w:val="none"/>
        </w:rPr>
        <w:t>本章第</w:t>
      </w:r>
      <w:r>
        <w:rPr>
          <w:rFonts w:ascii="宋体" w:hAnsi="宋体"/>
          <w:color w:val="auto"/>
          <w:highlight w:val="none"/>
        </w:rPr>
        <w:t>19.4</w:t>
      </w:r>
      <w:r>
        <w:rPr>
          <w:rFonts w:hint="eastAsia" w:ascii="宋体" w:hAnsi="宋体" w:cs="宋体"/>
          <w:color w:val="auto"/>
          <w:kern w:val="0"/>
          <w:szCs w:val="21"/>
          <w:highlight w:val="none"/>
          <w:lang w:val="zh-CN"/>
        </w:rPr>
        <w:t>款</w:t>
      </w:r>
      <w:r>
        <w:rPr>
          <w:rFonts w:hint="eastAsia" w:ascii="宋体" w:hAnsi="宋体"/>
          <w:color w:val="auto"/>
          <w:highlight w:val="none"/>
        </w:rPr>
        <w:t>规定</w:t>
      </w:r>
      <w:r>
        <w:rPr>
          <w:rFonts w:hint="eastAsia" w:ascii="宋体" w:hAnsi="宋体" w:cs="宋体"/>
          <w:color w:val="auto"/>
          <w:kern w:val="0"/>
          <w:szCs w:val="21"/>
          <w:highlight w:val="none"/>
        </w:rPr>
        <w:t>退还退出磋商的供应商的磋商保证金。</w:t>
      </w:r>
    </w:p>
    <w:p w14:paraId="34550F32">
      <w:pPr>
        <w:adjustRightInd w:val="0"/>
        <w:snapToGrid w:val="0"/>
        <w:spacing w:line="520" w:lineRule="exact"/>
        <w:ind w:firstLine="420" w:firstLineChars="200"/>
        <w:rPr>
          <w:rFonts w:ascii="宋体" w:hAnsi="宋体" w:cs="宋体"/>
          <w:color w:val="auto"/>
          <w:kern w:val="0"/>
          <w:szCs w:val="21"/>
          <w:highlight w:val="none"/>
        </w:rPr>
      </w:pPr>
      <w:r>
        <w:rPr>
          <w:rFonts w:ascii="宋体" w:hAnsi="宋体"/>
          <w:bCs/>
          <w:color w:val="auto"/>
          <w:szCs w:val="21"/>
          <w:highlight w:val="none"/>
        </w:rPr>
        <w:t>30.6</w:t>
      </w:r>
      <w:r>
        <w:rPr>
          <w:rFonts w:hint="eastAsia" w:ascii="宋体" w:hAnsi="宋体" w:cs="宋体"/>
          <w:color w:val="auto"/>
          <w:kern w:val="0"/>
          <w:szCs w:val="21"/>
          <w:highlight w:val="none"/>
        </w:rPr>
        <w:t>提交首次响应文件的供应商，未按磋商文件规定及磋商小组要求提交最后报价</w:t>
      </w:r>
      <w:r>
        <w:rPr>
          <w:rFonts w:ascii="宋体" w:hAnsi="宋体" w:cs="宋体"/>
          <w:color w:val="auto"/>
          <w:kern w:val="0"/>
          <w:szCs w:val="21"/>
          <w:highlight w:val="none"/>
        </w:rPr>
        <w:t>(</w:t>
      </w:r>
      <w:r>
        <w:rPr>
          <w:rFonts w:hint="eastAsia" w:ascii="宋体" w:hAnsi="宋体" w:cs="宋体"/>
          <w:color w:val="auto"/>
          <w:kern w:val="0"/>
          <w:szCs w:val="21"/>
          <w:highlight w:val="none"/>
        </w:rPr>
        <w:t>或者</w:t>
      </w:r>
      <w:r>
        <w:rPr>
          <w:rFonts w:hint="eastAsia" w:ascii="宋体" w:hAnsi="宋体"/>
          <w:bCs/>
          <w:color w:val="auto"/>
          <w:szCs w:val="21"/>
          <w:highlight w:val="none"/>
        </w:rPr>
        <w:t>重</w:t>
      </w:r>
      <w:r>
        <w:rPr>
          <w:rFonts w:hint="eastAsia" w:ascii="宋体" w:hAnsi="宋体" w:cs="宋体"/>
          <w:color w:val="auto"/>
          <w:kern w:val="0"/>
          <w:szCs w:val="21"/>
          <w:highlight w:val="none"/>
        </w:rPr>
        <w:t>新提交的响应文件和最后报价</w:t>
      </w:r>
      <w:r>
        <w:rPr>
          <w:rFonts w:ascii="宋体" w:hAnsi="宋体" w:cs="宋体"/>
          <w:color w:val="auto"/>
          <w:kern w:val="0"/>
          <w:szCs w:val="21"/>
          <w:highlight w:val="none"/>
        </w:rPr>
        <w:t>)</w:t>
      </w:r>
      <w:r>
        <w:rPr>
          <w:rFonts w:hint="eastAsia" w:ascii="宋体" w:hAnsi="宋体" w:cs="宋体"/>
          <w:color w:val="auto"/>
          <w:kern w:val="0"/>
          <w:szCs w:val="21"/>
          <w:highlight w:val="none"/>
        </w:rPr>
        <w:t>，且又</w:t>
      </w:r>
      <w:r>
        <w:rPr>
          <w:rFonts w:hint="eastAsia" w:ascii="宋体" w:hAnsi="宋体" w:cs="宋体"/>
          <w:color w:val="auto"/>
          <w:kern w:val="0"/>
          <w:highlight w:val="none"/>
        </w:rPr>
        <w:t>未按</w:t>
      </w:r>
      <w:r>
        <w:rPr>
          <w:rFonts w:hint="eastAsia" w:ascii="宋体" w:hAnsi="宋体" w:cs="宋体"/>
          <w:color w:val="auto"/>
          <w:kern w:val="0"/>
          <w:szCs w:val="21"/>
          <w:highlight w:val="none"/>
        </w:rPr>
        <w:t>本章第</w:t>
      </w:r>
      <w:r>
        <w:rPr>
          <w:rFonts w:ascii="宋体" w:hAnsi="宋体"/>
          <w:color w:val="auto"/>
          <w:highlight w:val="none"/>
        </w:rPr>
        <w:t>30.5</w:t>
      </w:r>
      <w:r>
        <w:rPr>
          <w:rFonts w:hint="eastAsia" w:ascii="宋体" w:hAnsi="宋体" w:cs="宋体"/>
          <w:color w:val="auto"/>
          <w:kern w:val="0"/>
          <w:szCs w:val="21"/>
          <w:highlight w:val="none"/>
          <w:lang w:val="zh-CN"/>
        </w:rPr>
        <w:t>款</w:t>
      </w:r>
      <w:r>
        <w:rPr>
          <w:rFonts w:hint="eastAsia" w:ascii="宋体" w:hAnsi="宋体"/>
          <w:color w:val="auto"/>
          <w:highlight w:val="none"/>
        </w:rPr>
        <w:t>规定</w:t>
      </w:r>
      <w:r>
        <w:rPr>
          <w:rFonts w:hint="eastAsia" w:ascii="宋体" w:hAnsi="宋体" w:cs="宋体"/>
          <w:color w:val="auto"/>
          <w:kern w:val="0"/>
          <w:szCs w:val="21"/>
          <w:highlight w:val="none"/>
        </w:rPr>
        <w:t>退出磋商的，供应商的磋商保证金不予退还。</w:t>
      </w:r>
    </w:p>
    <w:p w14:paraId="2B1725B7">
      <w:pPr>
        <w:widowControl/>
        <w:adjustRightInd w:val="0"/>
        <w:snapToGrid w:val="0"/>
        <w:spacing w:line="520" w:lineRule="exact"/>
        <w:jc w:val="left"/>
        <w:rPr>
          <w:rFonts w:ascii="宋体" w:hAnsi="宋体"/>
          <w:b/>
          <w:bCs/>
          <w:color w:val="auto"/>
          <w:szCs w:val="21"/>
          <w:highlight w:val="none"/>
        </w:rPr>
      </w:pPr>
      <w:r>
        <w:rPr>
          <w:rFonts w:ascii="宋体" w:hAnsi="宋体" w:cs="宋体"/>
          <w:b/>
          <w:color w:val="auto"/>
          <w:kern w:val="0"/>
          <w:szCs w:val="21"/>
          <w:highlight w:val="none"/>
        </w:rPr>
        <w:t>31.</w:t>
      </w:r>
      <w:r>
        <w:rPr>
          <w:rFonts w:hint="eastAsia" w:ascii="宋体" w:hAnsi="宋体" w:cs="宋体"/>
          <w:b/>
          <w:color w:val="auto"/>
          <w:kern w:val="0"/>
          <w:szCs w:val="21"/>
          <w:highlight w:val="none"/>
        </w:rPr>
        <w:t>响应文件评审</w:t>
      </w:r>
    </w:p>
    <w:p w14:paraId="5DB80391">
      <w:pPr>
        <w:widowControl/>
        <w:adjustRightInd w:val="0"/>
        <w:snapToGrid w:val="0"/>
        <w:spacing w:line="520" w:lineRule="exact"/>
        <w:ind w:firstLine="420" w:firstLineChars="200"/>
        <w:jc w:val="left"/>
        <w:rPr>
          <w:rFonts w:ascii="宋体" w:hAnsi="宋体"/>
          <w:bCs/>
          <w:color w:val="auto"/>
          <w:szCs w:val="21"/>
          <w:highlight w:val="none"/>
        </w:rPr>
      </w:pPr>
      <w:r>
        <w:rPr>
          <w:rFonts w:ascii="宋体" w:hAnsi="宋体"/>
          <w:bCs/>
          <w:color w:val="auto"/>
          <w:szCs w:val="21"/>
          <w:highlight w:val="none"/>
        </w:rPr>
        <w:t>31.1</w:t>
      </w:r>
      <w:r>
        <w:rPr>
          <w:rFonts w:hint="eastAsia" w:ascii="宋体" w:hAnsi="宋体"/>
          <w:bCs/>
          <w:color w:val="auto"/>
          <w:szCs w:val="21"/>
          <w:highlight w:val="none"/>
        </w:rPr>
        <w:t>经磋商确定最终采购需求和提交最后报价的供应商后，由磋商小组采用综合评分法对提交最后报价的供应商的响应文件和最后报价进行综合评价。</w:t>
      </w:r>
    </w:p>
    <w:p w14:paraId="3CA86C59">
      <w:pPr>
        <w:widowControl/>
        <w:adjustRightInd w:val="0"/>
        <w:snapToGrid w:val="0"/>
        <w:spacing w:line="520" w:lineRule="exact"/>
        <w:ind w:firstLine="420" w:firstLineChars="200"/>
        <w:jc w:val="left"/>
        <w:rPr>
          <w:rFonts w:ascii="宋体" w:hAnsi="宋体"/>
          <w:bCs/>
          <w:color w:val="auto"/>
          <w:szCs w:val="21"/>
          <w:highlight w:val="none"/>
        </w:rPr>
      </w:pPr>
      <w:r>
        <w:rPr>
          <w:rFonts w:ascii="宋体" w:hAnsi="宋体"/>
          <w:bCs/>
          <w:color w:val="auto"/>
          <w:szCs w:val="21"/>
          <w:highlight w:val="none"/>
        </w:rPr>
        <w:t>31.2</w:t>
      </w:r>
      <w:r>
        <w:rPr>
          <w:rFonts w:hint="eastAsia" w:ascii="宋体" w:hAnsi="宋体"/>
          <w:bCs/>
          <w:color w:val="auto"/>
          <w:szCs w:val="21"/>
          <w:highlight w:val="none"/>
        </w:rPr>
        <w:t>综合评分法，是指响应文件满足磋商文件全部实质性要求且按评审因素的量化指标评审得分最高的供应商为成交候选供应商的评审方法。本采购项目的评审因素和标准见</w:t>
      </w:r>
      <w:r>
        <w:rPr>
          <w:rFonts w:hint="eastAsia" w:ascii="宋体" w:hAnsi="宋体"/>
          <w:b/>
          <w:bCs/>
          <w:color w:val="auto"/>
          <w:szCs w:val="21"/>
          <w:highlight w:val="none"/>
        </w:rPr>
        <w:t>磋商须知前附表。</w:t>
      </w:r>
    </w:p>
    <w:p w14:paraId="6123B474">
      <w:pPr>
        <w:widowControl/>
        <w:adjustRightInd w:val="0"/>
        <w:snapToGrid w:val="0"/>
        <w:spacing w:before="156" w:beforeLines="50" w:line="520" w:lineRule="exact"/>
        <w:ind w:firstLine="420" w:firstLineChars="200"/>
        <w:jc w:val="left"/>
        <w:rPr>
          <w:rFonts w:ascii="宋体" w:hAnsi="宋体"/>
          <w:bCs/>
          <w:color w:val="auto"/>
          <w:szCs w:val="21"/>
          <w:highlight w:val="none"/>
        </w:rPr>
      </w:pPr>
      <w:r>
        <w:rPr>
          <w:rFonts w:ascii="宋体" w:hAnsi="宋体" w:cs="宋体"/>
          <w:color w:val="auto"/>
          <w:kern w:val="0"/>
          <w:szCs w:val="21"/>
          <w:highlight w:val="none"/>
        </w:rPr>
        <w:t>31.3</w:t>
      </w:r>
      <w:r>
        <w:rPr>
          <w:rFonts w:hint="eastAsia" w:ascii="宋体" w:hAnsi="宋体"/>
          <w:color w:val="auto"/>
          <w:szCs w:val="21"/>
          <w:highlight w:val="none"/>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b/>
          <w:color w:val="auto"/>
          <w:szCs w:val="21"/>
          <w:highlight w:val="none"/>
        </w:rPr>
        <w:t>磋商须知前附表</w:t>
      </w:r>
      <w:r>
        <w:rPr>
          <w:rFonts w:hint="eastAsia" w:ascii="宋体" w:hAnsi="宋体"/>
          <w:color w:val="auto"/>
          <w:szCs w:val="21"/>
          <w:highlight w:val="none"/>
        </w:rPr>
        <w:t>。</w:t>
      </w:r>
    </w:p>
    <w:p w14:paraId="54FB1246">
      <w:pPr>
        <w:widowControl/>
        <w:adjustRightInd w:val="0"/>
        <w:snapToGrid w:val="0"/>
        <w:spacing w:line="520" w:lineRule="exact"/>
        <w:ind w:firstLine="420" w:firstLineChars="200"/>
        <w:jc w:val="left"/>
        <w:rPr>
          <w:rFonts w:ascii="宋体" w:hAnsi="宋体" w:cs="宋体"/>
          <w:color w:val="auto"/>
          <w:kern w:val="0"/>
          <w:szCs w:val="21"/>
          <w:highlight w:val="none"/>
        </w:rPr>
      </w:pPr>
      <w:r>
        <w:rPr>
          <w:rFonts w:ascii="宋体" w:hAnsi="宋体" w:cs="宋体"/>
          <w:color w:val="auto"/>
          <w:kern w:val="0"/>
          <w:szCs w:val="21"/>
          <w:highlight w:val="none"/>
        </w:rPr>
        <w:t>31.4</w:t>
      </w:r>
      <w:r>
        <w:rPr>
          <w:rFonts w:hint="eastAsia" w:ascii="宋体" w:hAnsi="宋体" w:cs="宋体"/>
          <w:color w:val="auto"/>
          <w:kern w:val="0"/>
          <w:szCs w:val="21"/>
          <w:highlight w:val="none"/>
        </w:rPr>
        <w:t>综合评分法中的价格分采用低价优先法计算，即满足磋商文件要求且经调整后的最后报价最低的供应商的价格为磋商基准价，其价格分为满分。其他供应商的价格分按照下列公式计算：</w:t>
      </w:r>
    </w:p>
    <w:p w14:paraId="74375AC9">
      <w:pPr>
        <w:widowControl/>
        <w:adjustRightInd w:val="0"/>
        <w:snapToGrid w:val="0"/>
        <w:spacing w:line="5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磋商报价得分</w:t>
      </w:r>
      <w:r>
        <w:rPr>
          <w:rFonts w:ascii="宋体" w:hAnsi="宋体" w:cs="宋体"/>
          <w:color w:val="auto"/>
          <w:kern w:val="0"/>
          <w:szCs w:val="21"/>
          <w:highlight w:val="none"/>
        </w:rPr>
        <w:t>=</w:t>
      </w:r>
      <w:r>
        <w:rPr>
          <w:rFonts w:hint="eastAsia" w:ascii="宋体" w:hAnsi="宋体" w:cs="宋体"/>
          <w:color w:val="auto"/>
          <w:kern w:val="0"/>
          <w:szCs w:val="21"/>
          <w:highlight w:val="none"/>
        </w:rPr>
        <w:t>（磋商基准价</w:t>
      </w:r>
      <w:r>
        <w:rPr>
          <w:rFonts w:ascii="宋体" w:hAnsi="宋体" w:cs="宋体"/>
          <w:color w:val="auto"/>
          <w:kern w:val="0"/>
          <w:szCs w:val="21"/>
          <w:highlight w:val="none"/>
        </w:rPr>
        <w:t>/</w:t>
      </w:r>
      <w:r>
        <w:rPr>
          <w:rFonts w:hint="eastAsia" w:ascii="宋体" w:hAnsi="宋体" w:cs="宋体"/>
          <w:color w:val="auto"/>
          <w:kern w:val="0"/>
          <w:szCs w:val="21"/>
          <w:highlight w:val="none"/>
        </w:rPr>
        <w:t>最后磋商报价）×价格权值</w:t>
      </w:r>
    </w:p>
    <w:p w14:paraId="23D9C27E">
      <w:pPr>
        <w:widowControl/>
        <w:adjustRightInd w:val="0"/>
        <w:snapToGrid w:val="0"/>
        <w:spacing w:line="5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项目评审过程中，不得去掉最后报价中的最高报价和最低报价。</w:t>
      </w:r>
    </w:p>
    <w:p w14:paraId="64EDAE98">
      <w:pPr>
        <w:widowControl/>
        <w:adjustRightInd w:val="0"/>
        <w:snapToGrid w:val="0"/>
        <w:spacing w:before="156" w:beforeLines="50" w:line="520" w:lineRule="exact"/>
        <w:ind w:firstLine="420" w:firstLineChars="200"/>
        <w:jc w:val="left"/>
        <w:rPr>
          <w:rFonts w:ascii="宋体" w:hAnsi="宋体"/>
          <w:color w:val="auto"/>
          <w:szCs w:val="21"/>
          <w:highlight w:val="none"/>
        </w:rPr>
      </w:pPr>
      <w:r>
        <w:rPr>
          <w:rFonts w:ascii="宋体" w:hAnsi="宋体"/>
          <w:bCs/>
          <w:color w:val="auto"/>
          <w:szCs w:val="21"/>
          <w:highlight w:val="none"/>
        </w:rPr>
        <w:t>31.5</w:t>
      </w:r>
      <w:r>
        <w:rPr>
          <w:rFonts w:hint="eastAsia" w:ascii="宋体" w:hAnsi="宋体"/>
          <w:color w:val="auto"/>
          <w:szCs w:val="21"/>
          <w:highlight w:val="none"/>
        </w:rPr>
        <w:t>涉及政府采购政策优惠对供应商分值进行调整的，</w:t>
      </w:r>
      <w:r>
        <w:rPr>
          <w:rFonts w:hint="eastAsia" w:ascii="宋体" w:hAnsi="宋体"/>
          <w:bCs/>
          <w:color w:val="auto"/>
          <w:szCs w:val="21"/>
          <w:highlight w:val="none"/>
        </w:rPr>
        <w:t>按</w:t>
      </w:r>
      <w:r>
        <w:rPr>
          <w:rFonts w:hint="eastAsia" w:ascii="宋体" w:hAnsi="宋体"/>
          <w:b/>
          <w:color w:val="auto"/>
          <w:szCs w:val="21"/>
          <w:highlight w:val="none"/>
        </w:rPr>
        <w:t>磋商须知前附表</w:t>
      </w:r>
      <w:r>
        <w:rPr>
          <w:rFonts w:hint="eastAsia" w:ascii="宋体" w:hAnsi="宋体"/>
          <w:bCs/>
          <w:color w:val="auto"/>
          <w:szCs w:val="21"/>
          <w:highlight w:val="none"/>
        </w:rPr>
        <w:t>规定</w:t>
      </w:r>
      <w:r>
        <w:rPr>
          <w:rFonts w:hint="eastAsia" w:ascii="宋体" w:hAnsi="宋体"/>
          <w:color w:val="auto"/>
          <w:szCs w:val="21"/>
          <w:highlight w:val="none"/>
        </w:rPr>
        <w:t>调整供应商的技术、商务、价格</w:t>
      </w:r>
      <w:r>
        <w:rPr>
          <w:rFonts w:hint="eastAsia" w:ascii="宋体" w:hAnsi="宋体" w:cs="宋体"/>
          <w:color w:val="auto"/>
          <w:kern w:val="0"/>
          <w:szCs w:val="21"/>
          <w:highlight w:val="none"/>
        </w:rPr>
        <w:t>得分或总得分</w:t>
      </w:r>
      <w:r>
        <w:rPr>
          <w:rFonts w:hint="eastAsia" w:ascii="宋体" w:hAnsi="宋体"/>
          <w:color w:val="auto"/>
          <w:szCs w:val="21"/>
          <w:highlight w:val="none"/>
        </w:rPr>
        <w:t>。</w:t>
      </w:r>
    </w:p>
    <w:p w14:paraId="7DE4436E">
      <w:pPr>
        <w:adjustRightInd w:val="0"/>
        <w:snapToGrid w:val="0"/>
        <w:spacing w:before="156" w:beforeLines="50" w:line="520" w:lineRule="exact"/>
        <w:ind w:firstLine="420" w:firstLineChars="200"/>
        <w:rPr>
          <w:rFonts w:ascii="宋体" w:hAnsi="宋体"/>
          <w:color w:val="auto"/>
          <w:szCs w:val="21"/>
          <w:highlight w:val="none"/>
        </w:rPr>
      </w:pPr>
      <w:r>
        <w:rPr>
          <w:rFonts w:ascii="宋体" w:hAnsi="宋体"/>
          <w:color w:val="auto"/>
          <w:szCs w:val="21"/>
          <w:highlight w:val="none"/>
        </w:rPr>
        <w:t>31.6</w:t>
      </w:r>
      <w:r>
        <w:rPr>
          <w:rFonts w:hint="eastAsia" w:ascii="宋体" w:hAnsi="宋体"/>
          <w:color w:val="auto"/>
          <w:szCs w:val="21"/>
          <w:highlight w:val="none"/>
        </w:rPr>
        <w:t>涉及多处或部分获得政府采购政策优惠的，其多处或部分享受政府采购优惠政策的计算方法见</w:t>
      </w:r>
      <w:r>
        <w:rPr>
          <w:rFonts w:hint="eastAsia" w:ascii="宋体" w:hAnsi="宋体"/>
          <w:b/>
          <w:color w:val="auto"/>
          <w:szCs w:val="21"/>
          <w:highlight w:val="none"/>
        </w:rPr>
        <w:t>磋商须知前附表</w:t>
      </w:r>
      <w:r>
        <w:rPr>
          <w:rFonts w:hint="eastAsia" w:ascii="宋体" w:hAnsi="宋体"/>
          <w:color w:val="auto"/>
          <w:szCs w:val="21"/>
          <w:highlight w:val="none"/>
        </w:rPr>
        <w:t>相关规定。</w:t>
      </w:r>
    </w:p>
    <w:p w14:paraId="209955BE">
      <w:pPr>
        <w:widowControl/>
        <w:adjustRightInd w:val="0"/>
        <w:snapToGrid w:val="0"/>
        <w:spacing w:before="156" w:beforeLines="50" w:line="520" w:lineRule="exact"/>
        <w:ind w:firstLine="420" w:firstLineChars="200"/>
        <w:jc w:val="left"/>
        <w:rPr>
          <w:rFonts w:ascii="宋体" w:hAnsi="宋体"/>
          <w:color w:val="auto"/>
          <w:szCs w:val="21"/>
          <w:highlight w:val="none"/>
        </w:rPr>
      </w:pPr>
      <w:r>
        <w:rPr>
          <w:rFonts w:ascii="宋体" w:hAnsi="宋体" w:cs="宋体"/>
          <w:color w:val="auto"/>
          <w:kern w:val="0"/>
          <w:szCs w:val="21"/>
          <w:highlight w:val="none"/>
        </w:rPr>
        <w:t>31.7</w:t>
      </w:r>
      <w:r>
        <w:rPr>
          <w:rFonts w:hint="eastAsia" w:ascii="宋体" w:hAnsi="宋体"/>
          <w:color w:val="auto"/>
          <w:szCs w:val="21"/>
          <w:highlight w:val="none"/>
        </w:rPr>
        <w:t>评审时，磋商小组各成员应当独立对每个供应商的</w:t>
      </w:r>
      <w:r>
        <w:rPr>
          <w:rFonts w:hint="eastAsia" w:ascii="宋体" w:hAnsi="宋体"/>
          <w:bCs/>
          <w:color w:val="auto"/>
          <w:szCs w:val="21"/>
          <w:highlight w:val="none"/>
        </w:rPr>
        <w:t>响应文件</w:t>
      </w:r>
      <w:r>
        <w:rPr>
          <w:rFonts w:hint="eastAsia" w:ascii="宋体" w:hAnsi="宋体"/>
          <w:color w:val="auto"/>
          <w:szCs w:val="21"/>
          <w:highlight w:val="none"/>
        </w:rPr>
        <w:t>进行评价、评分，并按照政府采购优惠政策对最后报价进行价格扣除和技术、商务、价格加分后，汇总各供应商的总得分。</w:t>
      </w:r>
    </w:p>
    <w:p w14:paraId="3551E120">
      <w:pPr>
        <w:widowControl/>
        <w:adjustRightInd w:val="0"/>
        <w:snapToGrid w:val="0"/>
        <w:spacing w:line="520" w:lineRule="exact"/>
        <w:jc w:val="left"/>
        <w:rPr>
          <w:rFonts w:ascii="宋体" w:hAnsi="宋体"/>
          <w:b/>
          <w:bCs/>
          <w:color w:val="auto"/>
          <w:szCs w:val="21"/>
          <w:highlight w:val="none"/>
        </w:rPr>
      </w:pPr>
      <w:r>
        <w:rPr>
          <w:rFonts w:ascii="宋体" w:hAnsi="宋体"/>
          <w:b/>
          <w:bCs/>
          <w:color w:val="auto"/>
          <w:szCs w:val="21"/>
          <w:highlight w:val="none"/>
        </w:rPr>
        <w:t>32</w:t>
      </w:r>
      <w:r>
        <w:rPr>
          <w:rFonts w:ascii="宋体" w:hAnsi="宋体" w:cs="宋体"/>
          <w:b/>
          <w:color w:val="auto"/>
          <w:kern w:val="0"/>
          <w:szCs w:val="21"/>
          <w:highlight w:val="none"/>
        </w:rPr>
        <w:t>.</w:t>
      </w:r>
      <w:r>
        <w:rPr>
          <w:rFonts w:hint="eastAsia" w:ascii="宋体" w:hAnsi="宋体"/>
          <w:b/>
          <w:bCs/>
          <w:color w:val="auto"/>
          <w:szCs w:val="21"/>
          <w:highlight w:val="none"/>
        </w:rPr>
        <w:t>提出成交供应商</w:t>
      </w:r>
    </w:p>
    <w:p w14:paraId="1F96FE32">
      <w:pPr>
        <w:widowControl/>
        <w:spacing w:line="520" w:lineRule="exact"/>
        <w:ind w:firstLine="420" w:firstLineChars="200"/>
        <w:jc w:val="left"/>
        <w:rPr>
          <w:rFonts w:ascii="宋体" w:hAnsi="宋体"/>
          <w:bCs/>
          <w:color w:val="auto"/>
          <w:szCs w:val="21"/>
          <w:highlight w:val="none"/>
        </w:rPr>
      </w:pPr>
      <w:r>
        <w:rPr>
          <w:rFonts w:ascii="宋体" w:hAnsi="宋体" w:cs="宋体"/>
          <w:color w:val="auto"/>
          <w:kern w:val="0"/>
          <w:szCs w:val="21"/>
          <w:highlight w:val="none"/>
        </w:rPr>
        <w:t>32.1</w:t>
      </w:r>
      <w:r>
        <w:rPr>
          <w:rFonts w:hint="eastAsia" w:ascii="宋体" w:hAnsi="宋体"/>
          <w:bCs/>
          <w:color w:val="auto"/>
          <w:szCs w:val="21"/>
          <w:highlight w:val="none"/>
        </w:rPr>
        <w:t>磋商小组应当根据综合评分情况，按照评审得分由高到低顺序推荐</w:t>
      </w:r>
      <w:r>
        <w:rPr>
          <w:rFonts w:ascii="宋体" w:hAnsi="宋体"/>
          <w:bCs/>
          <w:color w:val="auto"/>
          <w:szCs w:val="21"/>
          <w:highlight w:val="none"/>
          <w:u w:val="single"/>
        </w:rPr>
        <w:t>3</w:t>
      </w:r>
      <w:r>
        <w:rPr>
          <w:rFonts w:hint="eastAsia" w:ascii="宋体" w:hAnsi="宋体"/>
          <w:bCs/>
          <w:color w:val="auto"/>
          <w:szCs w:val="21"/>
          <w:highlight w:val="none"/>
        </w:rPr>
        <w:t>名以上成交候选供应商，并编写评审报告。评审得分相同的，按照最后报价由低到高的顺序推荐。评审得分且最后报价相同的，按照技术指标优劣顺序推荐。</w:t>
      </w:r>
    </w:p>
    <w:p w14:paraId="0D84A29B">
      <w:pPr>
        <w:widowControl/>
        <w:spacing w:line="520" w:lineRule="exact"/>
        <w:jc w:val="left"/>
        <w:rPr>
          <w:rFonts w:ascii="宋体" w:hAnsi="宋体"/>
          <w:bCs/>
          <w:color w:val="auto"/>
          <w:szCs w:val="21"/>
          <w:highlight w:val="none"/>
        </w:rPr>
      </w:pPr>
      <w:r>
        <w:rPr>
          <w:rFonts w:ascii="宋体" w:hAnsi="宋体"/>
          <w:bCs/>
          <w:color w:val="auto"/>
          <w:szCs w:val="21"/>
          <w:highlight w:val="none"/>
        </w:rPr>
        <w:t xml:space="preserve">    32.2</w:t>
      </w:r>
      <w:r>
        <w:rPr>
          <w:rFonts w:hint="eastAsia" w:ascii="宋体" w:hAnsi="宋体"/>
          <w:bCs/>
          <w:color w:val="auto"/>
          <w:szCs w:val="21"/>
          <w:highlight w:val="none"/>
        </w:rPr>
        <w:t>符合《政府采购竞争性磋商采购方式管理暂行办法》</w:t>
      </w:r>
      <w:r>
        <w:rPr>
          <w:rFonts w:ascii="宋体" w:hAnsi="宋体"/>
          <w:bCs/>
          <w:color w:val="auto"/>
          <w:szCs w:val="21"/>
          <w:highlight w:val="none"/>
        </w:rPr>
        <w:t>(</w:t>
      </w:r>
      <w:r>
        <w:rPr>
          <w:rFonts w:hint="eastAsia" w:ascii="宋体" w:hAnsi="宋体"/>
          <w:bCs/>
          <w:color w:val="auto"/>
          <w:szCs w:val="21"/>
          <w:highlight w:val="none"/>
        </w:rPr>
        <w:t>财库〔</w:t>
      </w:r>
      <w:r>
        <w:rPr>
          <w:rFonts w:ascii="宋体" w:hAnsi="宋体"/>
          <w:bCs/>
          <w:color w:val="auto"/>
          <w:szCs w:val="21"/>
          <w:highlight w:val="none"/>
        </w:rPr>
        <w:t>2014</w:t>
      </w:r>
      <w:r>
        <w:rPr>
          <w:rFonts w:hint="eastAsia" w:ascii="宋体" w:hAnsi="宋体"/>
          <w:bCs/>
          <w:color w:val="auto"/>
          <w:szCs w:val="21"/>
          <w:highlight w:val="none"/>
        </w:rPr>
        <w:t>〕</w:t>
      </w:r>
      <w:r>
        <w:rPr>
          <w:rFonts w:ascii="宋体" w:hAnsi="宋体"/>
          <w:bCs/>
          <w:color w:val="auto"/>
          <w:szCs w:val="21"/>
          <w:highlight w:val="none"/>
        </w:rPr>
        <w:t>214</w:t>
      </w:r>
      <w:r>
        <w:rPr>
          <w:rFonts w:hint="eastAsia" w:ascii="宋体" w:hAnsi="宋体"/>
          <w:bCs/>
          <w:color w:val="auto"/>
          <w:szCs w:val="21"/>
          <w:highlight w:val="none"/>
        </w:rPr>
        <w:t>号</w:t>
      </w:r>
      <w:r>
        <w:rPr>
          <w:rFonts w:ascii="宋体" w:hAnsi="宋体"/>
          <w:bCs/>
          <w:color w:val="auto"/>
          <w:szCs w:val="21"/>
          <w:highlight w:val="none"/>
        </w:rPr>
        <w:t>)</w:t>
      </w:r>
      <w:r>
        <w:rPr>
          <w:rFonts w:hint="eastAsia" w:ascii="宋体" w:hAnsi="宋体" w:cs="宋体"/>
          <w:color w:val="auto"/>
          <w:kern w:val="0"/>
          <w:szCs w:val="21"/>
          <w:highlight w:val="none"/>
        </w:rPr>
        <w:t>和《财政部关于政府采购竞争性磋商采购方式管理暂行办法有关问题的补充通知》（财库〔</w:t>
      </w:r>
      <w:r>
        <w:rPr>
          <w:rFonts w:ascii="宋体" w:hAnsi="宋体" w:cs="宋体"/>
          <w:color w:val="auto"/>
          <w:kern w:val="0"/>
          <w:szCs w:val="21"/>
          <w:highlight w:val="none"/>
        </w:rPr>
        <w:t>2015</w:t>
      </w:r>
      <w:r>
        <w:rPr>
          <w:rFonts w:hint="eastAsia" w:ascii="宋体" w:hAnsi="宋体" w:cs="宋体"/>
          <w:color w:val="auto"/>
          <w:kern w:val="0"/>
          <w:szCs w:val="21"/>
          <w:highlight w:val="none"/>
        </w:rPr>
        <w:t>〕</w:t>
      </w:r>
      <w:r>
        <w:rPr>
          <w:rFonts w:ascii="宋体" w:hAnsi="宋体" w:cs="宋体"/>
          <w:color w:val="auto"/>
          <w:kern w:val="0"/>
          <w:szCs w:val="21"/>
          <w:highlight w:val="none"/>
        </w:rPr>
        <w:t>124</w:t>
      </w:r>
      <w:r>
        <w:rPr>
          <w:rFonts w:hint="eastAsia" w:ascii="宋体" w:hAnsi="宋体" w:cs="宋体"/>
          <w:color w:val="auto"/>
          <w:kern w:val="0"/>
          <w:szCs w:val="21"/>
          <w:highlight w:val="none"/>
        </w:rPr>
        <w:t>号）所列“政府购买服务项目（含政府和社会资本合作项目）、市场竞争不充分的科研项目以及需要扶持的科技成果转化项目”情形的，</w:t>
      </w:r>
      <w:r>
        <w:rPr>
          <w:rFonts w:hint="eastAsia" w:ascii="宋体" w:hAnsi="宋体"/>
          <w:bCs/>
          <w:color w:val="auto"/>
          <w:szCs w:val="21"/>
          <w:highlight w:val="none"/>
        </w:rPr>
        <w:t>可以推荐</w:t>
      </w:r>
      <w:r>
        <w:rPr>
          <w:rFonts w:ascii="宋体" w:hAnsi="宋体"/>
          <w:bCs/>
          <w:color w:val="auto"/>
          <w:szCs w:val="21"/>
          <w:highlight w:val="none"/>
        </w:rPr>
        <w:t>2</w:t>
      </w:r>
      <w:r>
        <w:rPr>
          <w:rFonts w:hint="eastAsia" w:ascii="宋体" w:hAnsi="宋体"/>
          <w:bCs/>
          <w:color w:val="auto"/>
          <w:szCs w:val="21"/>
          <w:highlight w:val="none"/>
        </w:rPr>
        <w:t>家成交候选供应商。</w:t>
      </w:r>
    </w:p>
    <w:p w14:paraId="363A00D0">
      <w:pPr>
        <w:tabs>
          <w:tab w:val="left" w:pos="0"/>
        </w:tabs>
        <w:adjustRightInd w:val="0"/>
        <w:snapToGrid w:val="0"/>
        <w:spacing w:line="520" w:lineRule="exact"/>
        <w:rPr>
          <w:rFonts w:ascii="宋体" w:hAnsi="宋体"/>
          <w:b/>
          <w:bCs/>
          <w:color w:val="auto"/>
          <w:szCs w:val="21"/>
          <w:highlight w:val="none"/>
        </w:rPr>
      </w:pPr>
      <w:r>
        <w:rPr>
          <w:rFonts w:ascii="宋体" w:hAnsi="宋体"/>
          <w:b/>
          <w:bCs/>
          <w:color w:val="auto"/>
          <w:szCs w:val="21"/>
          <w:highlight w:val="none"/>
        </w:rPr>
        <w:t>33.</w:t>
      </w:r>
      <w:r>
        <w:rPr>
          <w:rFonts w:hint="eastAsia" w:ascii="宋体" w:hAnsi="宋体"/>
          <w:b/>
          <w:bCs/>
          <w:color w:val="auto"/>
          <w:szCs w:val="21"/>
          <w:highlight w:val="none"/>
        </w:rPr>
        <w:t>确定成交供应商</w:t>
      </w:r>
    </w:p>
    <w:p w14:paraId="41607F51">
      <w:pPr>
        <w:widowControl/>
        <w:adjustRightInd w:val="0"/>
        <w:snapToGrid w:val="0"/>
        <w:spacing w:line="520" w:lineRule="exact"/>
        <w:ind w:firstLine="420" w:firstLineChars="200"/>
        <w:jc w:val="left"/>
        <w:rPr>
          <w:rFonts w:ascii="宋体" w:hAnsi="宋体" w:cs="宋体"/>
          <w:color w:val="auto"/>
          <w:kern w:val="0"/>
          <w:szCs w:val="21"/>
          <w:highlight w:val="none"/>
        </w:rPr>
      </w:pPr>
      <w:r>
        <w:rPr>
          <w:rFonts w:ascii="宋体" w:hAnsi="宋体" w:cs="宋体"/>
          <w:color w:val="auto"/>
          <w:kern w:val="0"/>
          <w:szCs w:val="21"/>
          <w:highlight w:val="none"/>
        </w:rPr>
        <w:t>33.1</w:t>
      </w:r>
      <w:r>
        <w:rPr>
          <w:rFonts w:hint="eastAsia" w:ascii="宋体" w:hAnsi="宋体" w:cs="宋体"/>
          <w:color w:val="auto"/>
          <w:kern w:val="0"/>
          <w:szCs w:val="21"/>
          <w:highlight w:val="none"/>
        </w:rPr>
        <w:t>采购代理机构应当在评审结束后</w:t>
      </w:r>
      <w:r>
        <w:rPr>
          <w:rFonts w:ascii="宋体" w:hAnsi="宋体" w:cs="宋体"/>
          <w:color w:val="auto"/>
          <w:kern w:val="0"/>
          <w:szCs w:val="21"/>
          <w:highlight w:val="none"/>
        </w:rPr>
        <w:t>2</w:t>
      </w:r>
      <w:r>
        <w:rPr>
          <w:rFonts w:hint="eastAsia" w:ascii="宋体" w:hAnsi="宋体" w:cs="宋体"/>
          <w:color w:val="auto"/>
          <w:kern w:val="0"/>
          <w:szCs w:val="21"/>
          <w:highlight w:val="none"/>
        </w:rPr>
        <w:t>个工作日内将评审报告送采购人确认。</w:t>
      </w:r>
    </w:p>
    <w:p w14:paraId="3FA0C473">
      <w:pPr>
        <w:widowControl/>
        <w:adjustRightInd w:val="0"/>
        <w:snapToGrid w:val="0"/>
        <w:spacing w:line="520" w:lineRule="exact"/>
        <w:ind w:firstLine="420"/>
        <w:jc w:val="left"/>
        <w:rPr>
          <w:rFonts w:ascii="宋体" w:hAnsi="宋体" w:cs="宋体"/>
          <w:color w:val="auto"/>
          <w:kern w:val="0"/>
          <w:szCs w:val="21"/>
          <w:highlight w:val="none"/>
        </w:rPr>
      </w:pPr>
      <w:r>
        <w:rPr>
          <w:rFonts w:ascii="宋体" w:hAnsi="宋体" w:cs="宋体"/>
          <w:color w:val="auto"/>
          <w:kern w:val="0"/>
          <w:szCs w:val="21"/>
          <w:highlight w:val="none"/>
        </w:rPr>
        <w:t>33.2</w:t>
      </w:r>
      <w:r>
        <w:rPr>
          <w:rFonts w:hint="eastAsia" w:ascii="宋体" w:hAnsi="宋体" w:cs="宋体"/>
          <w:color w:val="auto"/>
          <w:kern w:val="0"/>
          <w:szCs w:val="21"/>
          <w:highlight w:val="none"/>
        </w:rPr>
        <w:t>采购人应当在收到评审报告后</w:t>
      </w:r>
      <w:r>
        <w:rPr>
          <w:rFonts w:ascii="宋体" w:hAnsi="宋体" w:cs="宋体"/>
          <w:color w:val="auto"/>
          <w:kern w:val="0"/>
          <w:szCs w:val="21"/>
          <w:highlight w:val="none"/>
        </w:rPr>
        <w:t>5</w:t>
      </w:r>
      <w:r>
        <w:rPr>
          <w:rFonts w:hint="eastAsia" w:ascii="宋体" w:hAnsi="宋体" w:cs="宋体"/>
          <w:color w:val="auto"/>
          <w:kern w:val="0"/>
          <w:szCs w:val="21"/>
          <w:highlight w:val="none"/>
        </w:rPr>
        <w:t>个工作日内，从评审报告提出的成交候选供应商中，按照排序由高到低的原则确定成交供应商，也可以书面授权磋商小组直接确定成交供应商。</w:t>
      </w:r>
    </w:p>
    <w:p w14:paraId="770C5EBE">
      <w:pPr>
        <w:adjustRightInd w:val="0"/>
        <w:snapToGrid w:val="0"/>
        <w:spacing w:line="520" w:lineRule="exact"/>
        <w:ind w:left="632" w:hanging="632" w:hangingChars="300"/>
        <w:rPr>
          <w:rFonts w:ascii="宋体" w:hAnsi="宋体"/>
          <w:b/>
          <w:color w:val="auto"/>
          <w:highlight w:val="none"/>
        </w:rPr>
      </w:pPr>
      <w:r>
        <w:rPr>
          <w:rFonts w:ascii="宋体" w:hAnsi="宋体"/>
          <w:b/>
          <w:color w:val="auto"/>
          <w:highlight w:val="none"/>
        </w:rPr>
        <w:t>34.</w:t>
      </w:r>
      <w:r>
        <w:rPr>
          <w:rFonts w:hint="eastAsia" w:ascii="宋体" w:hAnsi="宋体"/>
          <w:b/>
          <w:color w:val="auto"/>
          <w:highlight w:val="none"/>
        </w:rPr>
        <w:t>磋商终止</w:t>
      </w:r>
    </w:p>
    <w:p w14:paraId="4E3BBD90">
      <w:pPr>
        <w:widowControl/>
        <w:adjustRightInd w:val="0"/>
        <w:snapToGrid w:val="0"/>
        <w:spacing w:line="520" w:lineRule="exact"/>
        <w:ind w:firstLine="420" w:firstLineChars="200"/>
        <w:jc w:val="left"/>
        <w:rPr>
          <w:rFonts w:ascii="宋体" w:hAnsi="宋体" w:cs="宋体"/>
          <w:color w:val="auto"/>
          <w:kern w:val="0"/>
          <w:szCs w:val="21"/>
          <w:highlight w:val="none"/>
        </w:rPr>
      </w:pPr>
      <w:r>
        <w:rPr>
          <w:rFonts w:ascii="宋体" w:hAnsi="宋体"/>
          <w:bCs/>
          <w:color w:val="auto"/>
          <w:szCs w:val="21"/>
          <w:highlight w:val="none"/>
        </w:rPr>
        <w:t>34.1</w:t>
      </w:r>
      <w:r>
        <w:rPr>
          <w:rFonts w:hint="eastAsia" w:ascii="宋体" w:hAnsi="宋体" w:cs="宋体"/>
          <w:color w:val="auto"/>
          <w:kern w:val="0"/>
          <w:szCs w:val="21"/>
          <w:highlight w:val="none"/>
        </w:rPr>
        <w:t>出现下列情形之一的，采购人或者采购代理机构应当终止竞争性磋商采购活动，</w:t>
      </w:r>
      <w:r>
        <w:rPr>
          <w:rFonts w:hint="eastAsia" w:ascii="宋体" w:hAnsi="宋体"/>
          <w:color w:val="auto"/>
          <w:highlight w:val="none"/>
        </w:rPr>
        <w:t>在本章第</w:t>
      </w:r>
      <w:r>
        <w:rPr>
          <w:rFonts w:ascii="宋体" w:hAnsi="宋体"/>
          <w:color w:val="auto"/>
          <w:highlight w:val="none"/>
        </w:rPr>
        <w:t>37.1</w:t>
      </w:r>
      <w:r>
        <w:rPr>
          <w:rFonts w:hint="eastAsia" w:ascii="宋体" w:hAnsi="宋体"/>
          <w:color w:val="auto"/>
          <w:highlight w:val="none"/>
        </w:rPr>
        <w:t>款指定的媒体上</w:t>
      </w:r>
      <w:r>
        <w:rPr>
          <w:rFonts w:hint="eastAsia" w:ascii="宋体" w:hAnsi="宋体" w:cs="宋体"/>
          <w:color w:val="auto"/>
          <w:kern w:val="0"/>
          <w:szCs w:val="21"/>
          <w:highlight w:val="none"/>
        </w:rPr>
        <w:t>发布项目终止公告并说明原因，重新开展采购活动：</w:t>
      </w:r>
      <w:r>
        <w:rPr>
          <w:rFonts w:ascii="宋体" w:hAnsi="宋体" w:cs="宋体"/>
          <w:color w:val="auto"/>
          <w:kern w:val="0"/>
          <w:szCs w:val="21"/>
          <w:highlight w:val="none"/>
        </w:rPr>
        <w:t xml:space="preserve"> </w:t>
      </w:r>
    </w:p>
    <w:p w14:paraId="71F0705C">
      <w:pPr>
        <w:widowControl/>
        <w:adjustRightInd w:val="0"/>
        <w:snapToGrid w:val="0"/>
        <w:spacing w:line="5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1</w:t>
      </w:r>
      <w:r>
        <w:rPr>
          <w:rFonts w:hint="eastAsia" w:ascii="宋体" w:hAnsi="宋体" w:cs="宋体"/>
          <w:color w:val="auto"/>
          <w:kern w:val="0"/>
          <w:szCs w:val="21"/>
          <w:highlight w:val="none"/>
        </w:rPr>
        <w:t>）因情况变化，不再符合规定的竞争性磋商采购方式适用情形的；</w:t>
      </w:r>
    </w:p>
    <w:p w14:paraId="1869A059">
      <w:pPr>
        <w:widowControl/>
        <w:adjustRightInd w:val="0"/>
        <w:snapToGrid w:val="0"/>
        <w:spacing w:line="520" w:lineRule="exact"/>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2</w:t>
      </w:r>
      <w:r>
        <w:rPr>
          <w:rFonts w:hint="eastAsia" w:ascii="宋体" w:hAnsi="宋体" w:cs="宋体"/>
          <w:color w:val="auto"/>
          <w:kern w:val="0"/>
          <w:szCs w:val="21"/>
          <w:highlight w:val="none"/>
        </w:rPr>
        <w:t>）出现影响采购公正的违法、违规行为的；</w:t>
      </w:r>
    </w:p>
    <w:p w14:paraId="6ED8CE38">
      <w:pPr>
        <w:widowControl/>
        <w:adjustRightInd w:val="0"/>
        <w:snapToGrid w:val="0"/>
        <w:spacing w:line="520" w:lineRule="exact"/>
        <w:ind w:firstLine="420"/>
        <w:jc w:val="left"/>
        <w:rPr>
          <w:rFonts w:ascii="宋体" w:hAnsi="宋体"/>
          <w:bCs/>
          <w:color w:val="auto"/>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3</w:t>
      </w:r>
      <w:r>
        <w:rPr>
          <w:rFonts w:hint="eastAsia" w:ascii="宋体" w:hAnsi="宋体" w:cs="宋体"/>
          <w:color w:val="auto"/>
          <w:kern w:val="0"/>
          <w:szCs w:val="21"/>
          <w:highlight w:val="none"/>
        </w:rPr>
        <w:t>）</w:t>
      </w:r>
      <w:r>
        <w:rPr>
          <w:rFonts w:hint="eastAsia" w:ascii="宋体" w:hAnsi="宋体"/>
          <w:bCs/>
          <w:color w:val="auto"/>
          <w:szCs w:val="21"/>
          <w:highlight w:val="none"/>
        </w:rPr>
        <w:t>除《政府采购竞争性磋商采购方式管理暂行办法》</w:t>
      </w:r>
      <w:r>
        <w:rPr>
          <w:rFonts w:ascii="宋体" w:hAnsi="宋体"/>
          <w:bCs/>
          <w:color w:val="auto"/>
          <w:szCs w:val="21"/>
          <w:highlight w:val="none"/>
        </w:rPr>
        <w:t>(</w:t>
      </w:r>
      <w:r>
        <w:rPr>
          <w:rFonts w:hint="eastAsia" w:ascii="宋体" w:hAnsi="宋体"/>
          <w:bCs/>
          <w:color w:val="auto"/>
          <w:szCs w:val="21"/>
          <w:highlight w:val="none"/>
        </w:rPr>
        <w:t>财库〔</w:t>
      </w:r>
      <w:r>
        <w:rPr>
          <w:rFonts w:ascii="宋体" w:hAnsi="宋体"/>
          <w:bCs/>
          <w:color w:val="auto"/>
          <w:szCs w:val="21"/>
          <w:highlight w:val="none"/>
        </w:rPr>
        <w:t>2014</w:t>
      </w:r>
      <w:r>
        <w:rPr>
          <w:rFonts w:hint="eastAsia" w:ascii="宋体" w:hAnsi="宋体"/>
          <w:bCs/>
          <w:color w:val="auto"/>
          <w:szCs w:val="21"/>
          <w:highlight w:val="none"/>
        </w:rPr>
        <w:t>〕</w:t>
      </w:r>
      <w:r>
        <w:rPr>
          <w:rFonts w:ascii="宋体" w:hAnsi="宋体"/>
          <w:bCs/>
          <w:color w:val="auto"/>
          <w:szCs w:val="21"/>
          <w:highlight w:val="none"/>
        </w:rPr>
        <w:t>214</w:t>
      </w:r>
      <w:r>
        <w:rPr>
          <w:rFonts w:hint="eastAsia" w:ascii="宋体" w:hAnsi="宋体"/>
          <w:bCs/>
          <w:color w:val="auto"/>
          <w:szCs w:val="21"/>
          <w:highlight w:val="none"/>
        </w:rPr>
        <w:t>号</w:t>
      </w:r>
      <w:r>
        <w:rPr>
          <w:rFonts w:ascii="宋体" w:hAnsi="宋体"/>
          <w:bCs/>
          <w:color w:val="auto"/>
          <w:szCs w:val="21"/>
          <w:highlight w:val="none"/>
        </w:rPr>
        <w:t>)</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和《财政部关于政府采购竞争性磋商采购方式管理暂行办法有关问题的补充通知》（财库〔</w:t>
      </w:r>
      <w:r>
        <w:rPr>
          <w:rFonts w:ascii="宋体" w:hAnsi="宋体" w:cs="宋体"/>
          <w:color w:val="auto"/>
          <w:kern w:val="0"/>
          <w:szCs w:val="21"/>
          <w:highlight w:val="none"/>
        </w:rPr>
        <w:t>2015</w:t>
      </w:r>
      <w:r>
        <w:rPr>
          <w:rFonts w:hint="eastAsia" w:ascii="宋体" w:hAnsi="宋体" w:cs="宋体"/>
          <w:color w:val="auto"/>
          <w:kern w:val="0"/>
          <w:szCs w:val="21"/>
          <w:highlight w:val="none"/>
        </w:rPr>
        <w:t>〕</w:t>
      </w:r>
      <w:r>
        <w:rPr>
          <w:rFonts w:ascii="宋体" w:hAnsi="宋体" w:cs="宋体"/>
          <w:color w:val="auto"/>
          <w:kern w:val="0"/>
          <w:szCs w:val="21"/>
          <w:highlight w:val="none"/>
        </w:rPr>
        <w:t>124</w:t>
      </w:r>
      <w:r>
        <w:rPr>
          <w:rFonts w:hint="eastAsia" w:ascii="宋体" w:hAnsi="宋体" w:cs="宋体"/>
          <w:color w:val="auto"/>
          <w:kern w:val="0"/>
          <w:szCs w:val="21"/>
          <w:highlight w:val="none"/>
        </w:rPr>
        <w:t>号）所列“政府购买服务项目（含政府和社会资本合作项目）、市场竞争不充分的科研项目以及需要扶持的科技成果转化项目”</w:t>
      </w:r>
      <w:r>
        <w:rPr>
          <w:rFonts w:hint="eastAsia" w:ascii="宋体" w:hAnsi="宋体"/>
          <w:bCs/>
          <w:color w:val="auto"/>
          <w:szCs w:val="21"/>
          <w:highlight w:val="none"/>
        </w:rPr>
        <w:t>情形外，在采购过程中符合要求的供应商或者报价未超过采购预算的供应商不足</w:t>
      </w:r>
      <w:r>
        <w:rPr>
          <w:rFonts w:ascii="宋体" w:hAnsi="宋体"/>
          <w:bCs/>
          <w:color w:val="auto"/>
          <w:szCs w:val="21"/>
          <w:highlight w:val="none"/>
        </w:rPr>
        <w:t>3</w:t>
      </w:r>
      <w:r>
        <w:rPr>
          <w:rFonts w:hint="eastAsia" w:ascii="宋体" w:hAnsi="宋体"/>
          <w:bCs/>
          <w:color w:val="auto"/>
          <w:szCs w:val="21"/>
          <w:highlight w:val="none"/>
        </w:rPr>
        <w:t>家的；</w:t>
      </w:r>
    </w:p>
    <w:p w14:paraId="26A8D02E">
      <w:pPr>
        <w:widowControl/>
        <w:adjustRightInd w:val="0"/>
        <w:snapToGrid w:val="0"/>
        <w:spacing w:line="520" w:lineRule="exact"/>
        <w:ind w:firstLine="420"/>
        <w:jc w:val="left"/>
        <w:rPr>
          <w:rFonts w:ascii="宋体" w:hAnsi="宋体"/>
          <w:bCs/>
          <w:color w:val="auto"/>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4</w:t>
      </w:r>
      <w:r>
        <w:rPr>
          <w:rFonts w:hint="eastAsia" w:ascii="宋体" w:hAnsi="宋体" w:cs="宋体"/>
          <w:color w:val="auto"/>
          <w:kern w:val="0"/>
          <w:szCs w:val="21"/>
          <w:highlight w:val="none"/>
        </w:rPr>
        <w:t>）因重大变故，采购任务取消的。</w:t>
      </w:r>
    </w:p>
    <w:p w14:paraId="621E774B">
      <w:pPr>
        <w:widowControl/>
        <w:adjustRightInd w:val="0"/>
        <w:snapToGrid w:val="0"/>
        <w:spacing w:line="520" w:lineRule="exact"/>
        <w:jc w:val="left"/>
        <w:rPr>
          <w:rFonts w:ascii="宋体" w:hAnsi="宋体" w:cs="宋体"/>
          <w:b/>
          <w:color w:val="auto"/>
          <w:kern w:val="0"/>
          <w:szCs w:val="21"/>
          <w:highlight w:val="none"/>
        </w:rPr>
      </w:pPr>
      <w:r>
        <w:rPr>
          <w:rFonts w:ascii="宋体" w:hAnsi="宋体" w:cs="宋体"/>
          <w:b/>
          <w:color w:val="auto"/>
          <w:kern w:val="0"/>
          <w:szCs w:val="21"/>
          <w:highlight w:val="none"/>
        </w:rPr>
        <w:t>35</w:t>
      </w:r>
      <w:r>
        <w:rPr>
          <w:rFonts w:hint="eastAsia" w:ascii="宋体" w:hAnsi="宋体" w:cs="宋体"/>
          <w:b/>
          <w:color w:val="auto"/>
          <w:kern w:val="0"/>
          <w:szCs w:val="21"/>
          <w:highlight w:val="none"/>
        </w:rPr>
        <w:t>．重新评审</w:t>
      </w:r>
    </w:p>
    <w:p w14:paraId="557046AB">
      <w:pPr>
        <w:widowControl/>
        <w:adjustRightInd w:val="0"/>
        <w:snapToGrid w:val="0"/>
        <w:spacing w:line="520" w:lineRule="exact"/>
        <w:ind w:firstLine="420" w:firstLineChars="200"/>
        <w:jc w:val="left"/>
        <w:rPr>
          <w:rFonts w:ascii="宋体" w:hAnsi="宋体" w:cs="宋体"/>
          <w:color w:val="auto"/>
          <w:kern w:val="0"/>
          <w:szCs w:val="21"/>
          <w:highlight w:val="none"/>
        </w:rPr>
      </w:pPr>
      <w:r>
        <w:rPr>
          <w:rFonts w:ascii="宋体" w:hAnsi="宋体" w:cs="宋体"/>
          <w:color w:val="auto"/>
          <w:kern w:val="0"/>
          <w:szCs w:val="21"/>
          <w:highlight w:val="none"/>
        </w:rPr>
        <w:t>35.1</w:t>
      </w:r>
      <w:r>
        <w:rPr>
          <w:rFonts w:hint="eastAsia" w:ascii="宋体" w:hAnsi="宋体" w:cs="宋体"/>
          <w:color w:val="auto"/>
          <w:kern w:val="0"/>
          <w:szCs w:val="21"/>
          <w:highlight w:val="none"/>
        </w:rPr>
        <w:t>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391EA642">
      <w:pPr>
        <w:adjustRightInd w:val="0"/>
        <w:snapToGrid w:val="0"/>
        <w:spacing w:line="520" w:lineRule="exact"/>
        <w:rPr>
          <w:rFonts w:ascii="宋体" w:hAnsi="宋体"/>
          <w:b/>
          <w:bCs/>
          <w:color w:val="auto"/>
          <w:szCs w:val="21"/>
          <w:highlight w:val="none"/>
        </w:rPr>
      </w:pPr>
      <w:r>
        <w:rPr>
          <w:rFonts w:ascii="宋体" w:hAnsi="宋体"/>
          <w:b/>
          <w:bCs/>
          <w:color w:val="auto"/>
          <w:szCs w:val="21"/>
          <w:highlight w:val="none"/>
        </w:rPr>
        <w:t>36.</w:t>
      </w:r>
      <w:r>
        <w:rPr>
          <w:rFonts w:hint="eastAsia" w:ascii="宋体" w:hAnsi="宋体"/>
          <w:b/>
          <w:bCs/>
          <w:color w:val="auto"/>
          <w:szCs w:val="21"/>
          <w:highlight w:val="none"/>
        </w:rPr>
        <w:t>保密及串通行为</w:t>
      </w:r>
    </w:p>
    <w:p w14:paraId="69648040">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36.1</w:t>
      </w:r>
      <w:r>
        <w:rPr>
          <w:rFonts w:hint="eastAsia" w:ascii="宋体" w:hAnsi="宋体"/>
          <w:color w:val="auto"/>
          <w:highlight w:val="none"/>
        </w:rPr>
        <w:t>磋商小组成员以及与评审工作有关的人员不得泄露评审情况以及评审过程中获悉的国家秘密、商业秘密。</w:t>
      </w:r>
    </w:p>
    <w:p w14:paraId="705156A3">
      <w:pPr>
        <w:adjustRightInd w:val="0"/>
        <w:snapToGrid w:val="0"/>
        <w:spacing w:line="520" w:lineRule="exact"/>
        <w:ind w:firstLine="420" w:firstLineChars="200"/>
        <w:rPr>
          <w:rFonts w:ascii="宋体" w:hAnsi="宋体"/>
          <w:color w:val="auto"/>
          <w:szCs w:val="21"/>
          <w:highlight w:val="none"/>
        </w:rPr>
      </w:pPr>
      <w:r>
        <w:rPr>
          <w:rFonts w:ascii="宋体" w:hAnsi="宋体"/>
          <w:color w:val="auto"/>
          <w:szCs w:val="21"/>
          <w:highlight w:val="none"/>
        </w:rPr>
        <w:t>36.2</w:t>
      </w:r>
      <w:r>
        <w:rPr>
          <w:rFonts w:hint="eastAsia" w:ascii="宋体" w:hAnsi="宋体" w:cs="宋体"/>
          <w:color w:val="auto"/>
          <w:kern w:val="0"/>
          <w:szCs w:val="21"/>
          <w:highlight w:val="none"/>
        </w:rPr>
        <w:t>供应商</w:t>
      </w:r>
      <w:r>
        <w:rPr>
          <w:rFonts w:hint="eastAsia" w:ascii="宋体" w:hAnsi="宋体"/>
          <w:color w:val="auto"/>
          <w:szCs w:val="21"/>
          <w:highlight w:val="none"/>
        </w:rPr>
        <w:t>不得与</w:t>
      </w:r>
      <w:r>
        <w:rPr>
          <w:rFonts w:hint="eastAsia" w:ascii="宋体" w:hAnsi="宋体" w:cs="宋体"/>
          <w:color w:val="auto"/>
          <w:kern w:val="0"/>
          <w:szCs w:val="21"/>
          <w:highlight w:val="none"/>
        </w:rPr>
        <w:t>采购人、采购代理机构、其他供应商恶意</w:t>
      </w:r>
      <w:r>
        <w:rPr>
          <w:rFonts w:hint="eastAsia" w:ascii="宋体" w:hAnsi="宋体"/>
          <w:color w:val="auto"/>
          <w:szCs w:val="21"/>
          <w:highlight w:val="none"/>
        </w:rPr>
        <w:t>串通；不得向</w:t>
      </w:r>
      <w:r>
        <w:rPr>
          <w:rFonts w:hint="eastAsia" w:ascii="宋体" w:hAnsi="宋体" w:cs="宋体"/>
          <w:color w:val="auto"/>
          <w:kern w:val="0"/>
          <w:szCs w:val="21"/>
          <w:highlight w:val="none"/>
        </w:rPr>
        <w:t>采购人、采购代理机构</w:t>
      </w:r>
      <w:r>
        <w:rPr>
          <w:rFonts w:hint="eastAsia" w:ascii="宋体" w:hAnsi="宋体"/>
          <w:color w:val="auto"/>
          <w:szCs w:val="21"/>
          <w:highlight w:val="none"/>
        </w:rPr>
        <w:t>或者磋商小组成员行贿或者提供其他不正当利益；不得提供虚假资料谋取成交；不得以任何方式干扰、影响采购工作。</w:t>
      </w:r>
    </w:p>
    <w:p w14:paraId="062E0862">
      <w:pPr>
        <w:adjustRightInd w:val="0"/>
        <w:snapToGrid w:val="0"/>
        <w:spacing w:line="520" w:lineRule="exact"/>
        <w:ind w:firstLine="420" w:firstLineChars="200"/>
        <w:rPr>
          <w:rFonts w:ascii="宋体" w:hAnsi="宋体"/>
          <w:color w:val="auto"/>
          <w:szCs w:val="21"/>
          <w:highlight w:val="none"/>
          <w:lang w:val="zh-CN"/>
        </w:rPr>
      </w:pPr>
      <w:r>
        <w:rPr>
          <w:rFonts w:ascii="宋体" w:hAnsi="宋体" w:cs="Arial"/>
          <w:color w:val="auto"/>
          <w:szCs w:val="21"/>
          <w:highlight w:val="none"/>
        </w:rPr>
        <w:t>36.3</w:t>
      </w:r>
      <w:r>
        <w:rPr>
          <w:rFonts w:hint="eastAsia" w:ascii="宋体" w:hAnsi="宋体"/>
          <w:color w:val="auto"/>
          <w:szCs w:val="21"/>
          <w:highlight w:val="none"/>
          <w:lang w:val="zh-CN"/>
        </w:rPr>
        <w:t>有下列情形之一的，属于恶意串通，对供应商依照政府采购法第七十七条第一款的规定追究法律责任：</w:t>
      </w:r>
    </w:p>
    <w:p w14:paraId="78EB00C4">
      <w:pPr>
        <w:adjustRightInd w:val="0"/>
        <w:snapToGrid w:val="0"/>
        <w:spacing w:line="520" w:lineRule="exact"/>
        <w:ind w:firstLine="420" w:firstLineChars="200"/>
        <w:rPr>
          <w:rFonts w:ascii="宋体" w:hAnsi="宋体"/>
          <w:color w:val="auto"/>
          <w:szCs w:val="21"/>
          <w:highlight w:val="none"/>
          <w:lang w:val="zh-CN"/>
        </w:rPr>
      </w:pPr>
      <w:r>
        <w:rPr>
          <w:rFonts w:hint="eastAsia" w:ascii="宋体" w:hAnsi="宋体"/>
          <w:color w:val="auto"/>
          <w:szCs w:val="21"/>
          <w:highlight w:val="none"/>
          <w:lang w:val="zh-CN"/>
        </w:rPr>
        <w:t>（一）供应商直接或者间接从采购人或者采购代理机构处获得其他供应商的相关情况并修改其投标文件或者响应文件；</w:t>
      </w:r>
    </w:p>
    <w:p w14:paraId="37568EAC">
      <w:pPr>
        <w:adjustRightInd w:val="0"/>
        <w:snapToGrid w:val="0"/>
        <w:spacing w:line="520" w:lineRule="exact"/>
        <w:ind w:firstLine="420" w:firstLineChars="200"/>
        <w:rPr>
          <w:rFonts w:ascii="宋体" w:hAnsi="宋体"/>
          <w:color w:val="auto"/>
          <w:szCs w:val="21"/>
          <w:highlight w:val="none"/>
          <w:lang w:val="zh-CN"/>
        </w:rPr>
      </w:pPr>
      <w:r>
        <w:rPr>
          <w:rFonts w:hint="eastAsia" w:ascii="宋体" w:hAnsi="宋体"/>
          <w:color w:val="auto"/>
          <w:szCs w:val="21"/>
          <w:highlight w:val="none"/>
          <w:lang w:val="zh-CN"/>
        </w:rPr>
        <w:t>（二）供应商按照采购人或者采购代理机构的授意撤换、修改投标文件或者响应文件；</w:t>
      </w:r>
    </w:p>
    <w:p w14:paraId="3A8585C9">
      <w:pPr>
        <w:adjustRightInd w:val="0"/>
        <w:snapToGrid w:val="0"/>
        <w:spacing w:line="520" w:lineRule="exact"/>
        <w:ind w:firstLine="420" w:firstLineChars="200"/>
        <w:rPr>
          <w:rFonts w:ascii="宋体" w:hAnsi="宋体"/>
          <w:color w:val="auto"/>
          <w:szCs w:val="21"/>
          <w:highlight w:val="none"/>
          <w:lang w:val="zh-CN"/>
        </w:rPr>
      </w:pPr>
      <w:r>
        <w:rPr>
          <w:rFonts w:hint="eastAsia" w:ascii="宋体" w:hAnsi="宋体"/>
          <w:color w:val="auto"/>
          <w:szCs w:val="21"/>
          <w:highlight w:val="none"/>
          <w:lang w:val="zh-CN"/>
        </w:rPr>
        <w:t>（三）供应商之间协商报价、技术方案等投标文件或者响应文件的实质性内容；</w:t>
      </w:r>
    </w:p>
    <w:p w14:paraId="1E69C814">
      <w:pPr>
        <w:adjustRightInd w:val="0"/>
        <w:snapToGrid w:val="0"/>
        <w:spacing w:line="520" w:lineRule="exact"/>
        <w:ind w:firstLine="420" w:firstLineChars="200"/>
        <w:rPr>
          <w:rFonts w:ascii="宋体" w:hAnsi="宋体"/>
          <w:color w:val="auto"/>
          <w:szCs w:val="21"/>
          <w:highlight w:val="none"/>
          <w:lang w:val="zh-CN"/>
        </w:rPr>
      </w:pPr>
      <w:r>
        <w:rPr>
          <w:rFonts w:hint="eastAsia" w:ascii="宋体" w:hAnsi="宋体"/>
          <w:color w:val="auto"/>
          <w:szCs w:val="21"/>
          <w:highlight w:val="none"/>
          <w:lang w:val="zh-CN"/>
        </w:rPr>
        <w:t>（四）属于同一集团、协会、商会等组织成员的供应商按照该组织要求协同参加政府采购活动；</w:t>
      </w:r>
    </w:p>
    <w:p w14:paraId="3EDD9943">
      <w:pPr>
        <w:adjustRightInd w:val="0"/>
        <w:snapToGrid w:val="0"/>
        <w:spacing w:line="520" w:lineRule="exact"/>
        <w:ind w:firstLine="420" w:firstLineChars="200"/>
        <w:rPr>
          <w:rFonts w:ascii="宋体" w:hAnsi="宋体"/>
          <w:color w:val="auto"/>
          <w:szCs w:val="21"/>
          <w:highlight w:val="none"/>
          <w:lang w:val="zh-CN"/>
        </w:rPr>
      </w:pPr>
      <w:r>
        <w:rPr>
          <w:rFonts w:hint="eastAsia" w:ascii="宋体" w:hAnsi="宋体"/>
          <w:color w:val="auto"/>
          <w:szCs w:val="21"/>
          <w:highlight w:val="none"/>
          <w:lang w:val="zh-CN"/>
        </w:rPr>
        <w:t>（五）供应商之间事先约定由某一特定供应商中标、成交；</w:t>
      </w:r>
    </w:p>
    <w:p w14:paraId="2015FCA6">
      <w:pPr>
        <w:adjustRightInd w:val="0"/>
        <w:snapToGrid w:val="0"/>
        <w:spacing w:line="520" w:lineRule="exact"/>
        <w:ind w:firstLine="420" w:firstLineChars="200"/>
        <w:rPr>
          <w:rFonts w:ascii="宋体" w:hAnsi="宋体"/>
          <w:color w:val="auto"/>
          <w:szCs w:val="21"/>
          <w:highlight w:val="none"/>
          <w:lang w:val="zh-CN"/>
        </w:rPr>
      </w:pPr>
      <w:r>
        <w:rPr>
          <w:rFonts w:hint="eastAsia" w:ascii="宋体" w:hAnsi="宋体"/>
          <w:color w:val="auto"/>
          <w:szCs w:val="21"/>
          <w:highlight w:val="none"/>
          <w:lang w:val="zh-CN"/>
        </w:rPr>
        <w:t>（六）供应商之间商定部分供应商放弃参加政府采购活动或者放弃中标、成交；</w:t>
      </w:r>
    </w:p>
    <w:p w14:paraId="44DCD367">
      <w:pPr>
        <w:adjustRightInd w:val="0"/>
        <w:snapToGrid w:val="0"/>
        <w:spacing w:line="520" w:lineRule="exact"/>
        <w:ind w:firstLine="420" w:firstLineChars="200"/>
        <w:rPr>
          <w:rFonts w:ascii="宋体" w:hAnsi="宋体"/>
          <w:color w:val="auto"/>
          <w:szCs w:val="21"/>
          <w:highlight w:val="none"/>
          <w:lang w:val="zh-CN"/>
        </w:rPr>
      </w:pPr>
      <w:r>
        <w:rPr>
          <w:rFonts w:hint="eastAsia" w:ascii="宋体" w:hAnsi="宋体"/>
          <w:color w:val="auto"/>
          <w:szCs w:val="21"/>
          <w:highlight w:val="none"/>
          <w:lang w:val="zh-CN"/>
        </w:rPr>
        <w:t>（七）供应商与采购人或者采购代理机构之间、供应商相互之间，为谋求特定供应商中标、成交或者排斥其他供应商的其他串通行为。</w:t>
      </w:r>
    </w:p>
    <w:p w14:paraId="1800113B">
      <w:pPr>
        <w:adjustRightInd w:val="0"/>
        <w:snapToGrid w:val="0"/>
        <w:spacing w:line="520" w:lineRule="exact"/>
        <w:rPr>
          <w:rFonts w:ascii="宋体" w:hAnsi="宋体"/>
          <w:color w:val="auto"/>
          <w:sz w:val="24"/>
          <w:highlight w:val="none"/>
        </w:rPr>
      </w:pPr>
      <w:r>
        <w:rPr>
          <w:rFonts w:hint="eastAsia" w:ascii="宋体" w:hAnsi="宋体"/>
          <w:color w:val="auto"/>
          <w:sz w:val="24"/>
          <w:highlight w:val="none"/>
        </w:rPr>
        <w:t>六、成交结果信息公布与授予合同</w:t>
      </w:r>
    </w:p>
    <w:p w14:paraId="50A28C6A">
      <w:pPr>
        <w:adjustRightInd w:val="0"/>
        <w:snapToGrid w:val="0"/>
        <w:spacing w:line="520" w:lineRule="exact"/>
        <w:rPr>
          <w:rFonts w:ascii="宋体" w:hAnsi="宋体"/>
          <w:b/>
          <w:bCs/>
          <w:color w:val="auto"/>
          <w:szCs w:val="21"/>
          <w:highlight w:val="none"/>
        </w:rPr>
      </w:pPr>
      <w:r>
        <w:rPr>
          <w:rFonts w:ascii="宋体" w:hAnsi="宋体"/>
          <w:b/>
          <w:bCs/>
          <w:color w:val="auto"/>
          <w:szCs w:val="21"/>
          <w:highlight w:val="none"/>
        </w:rPr>
        <w:t>37.</w:t>
      </w:r>
      <w:r>
        <w:rPr>
          <w:rFonts w:hint="eastAsia" w:ascii="宋体" w:hAnsi="宋体"/>
          <w:b/>
          <w:bCs/>
          <w:color w:val="auto"/>
          <w:szCs w:val="21"/>
          <w:highlight w:val="none"/>
        </w:rPr>
        <w:t>成交信息的公布</w:t>
      </w:r>
    </w:p>
    <w:p w14:paraId="1E5B28F3">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37.1</w:t>
      </w:r>
      <w:r>
        <w:rPr>
          <w:rFonts w:hint="eastAsia" w:ascii="宋体" w:hAnsi="宋体"/>
          <w:color w:val="auto"/>
          <w:highlight w:val="none"/>
        </w:rPr>
        <w:t>成交供应商确定后</w:t>
      </w:r>
      <w:r>
        <w:rPr>
          <w:rFonts w:ascii="宋体" w:hAnsi="宋体"/>
          <w:color w:val="auto"/>
          <w:highlight w:val="none"/>
        </w:rPr>
        <w:t>2</w:t>
      </w:r>
      <w:r>
        <w:rPr>
          <w:rFonts w:hint="eastAsia" w:ascii="宋体" w:hAnsi="宋体"/>
          <w:color w:val="auto"/>
          <w:highlight w:val="none"/>
        </w:rPr>
        <w:t>个工作日内，成交结果信息将在</w:t>
      </w:r>
      <w:r>
        <w:rPr>
          <w:rFonts w:hint="eastAsia" w:ascii="宋体" w:hAnsi="宋体"/>
          <w:b/>
          <w:color w:val="auto"/>
          <w:highlight w:val="none"/>
        </w:rPr>
        <w:t>磋商须知前附表</w:t>
      </w:r>
      <w:r>
        <w:rPr>
          <w:rFonts w:hint="eastAsia" w:ascii="宋体" w:hAnsi="宋体"/>
          <w:color w:val="auto"/>
          <w:highlight w:val="none"/>
        </w:rPr>
        <w:t>指定的媒体上公布。</w:t>
      </w:r>
    </w:p>
    <w:p w14:paraId="13657853">
      <w:pPr>
        <w:adjustRightInd w:val="0"/>
        <w:snapToGrid w:val="0"/>
        <w:spacing w:line="520" w:lineRule="exact"/>
        <w:rPr>
          <w:rFonts w:ascii="宋体" w:hAnsi="宋体"/>
          <w:b/>
          <w:bCs/>
          <w:color w:val="auto"/>
          <w:szCs w:val="21"/>
          <w:highlight w:val="none"/>
        </w:rPr>
      </w:pPr>
      <w:r>
        <w:rPr>
          <w:rFonts w:ascii="宋体" w:hAnsi="宋体"/>
          <w:b/>
          <w:bCs/>
          <w:color w:val="auto"/>
          <w:szCs w:val="21"/>
          <w:highlight w:val="none"/>
        </w:rPr>
        <w:t>38.</w:t>
      </w:r>
      <w:r>
        <w:rPr>
          <w:rFonts w:hint="eastAsia" w:ascii="宋体" w:hAnsi="宋体"/>
          <w:b/>
          <w:bCs/>
          <w:color w:val="auto"/>
          <w:szCs w:val="21"/>
          <w:highlight w:val="none"/>
        </w:rPr>
        <w:t>询问及质疑</w:t>
      </w:r>
    </w:p>
    <w:p w14:paraId="3485F2B4">
      <w:pPr>
        <w:adjustRightInd w:val="0"/>
        <w:snapToGrid w:val="0"/>
        <w:spacing w:line="520" w:lineRule="exact"/>
        <w:ind w:firstLine="420" w:firstLineChars="200"/>
        <w:jc w:val="left"/>
        <w:rPr>
          <w:rFonts w:ascii="宋体" w:hAnsi="宋体"/>
          <w:color w:val="auto"/>
          <w:highlight w:val="none"/>
        </w:rPr>
      </w:pPr>
      <w:r>
        <w:rPr>
          <w:rFonts w:ascii="宋体" w:hAnsi="宋体"/>
          <w:color w:val="auto"/>
          <w:szCs w:val="21"/>
          <w:highlight w:val="none"/>
        </w:rPr>
        <w:t>38.1</w:t>
      </w:r>
      <w:r>
        <w:rPr>
          <w:rFonts w:hint="eastAsia" w:ascii="宋体" w:hAnsi="宋体"/>
          <w:color w:val="auto"/>
          <w:szCs w:val="21"/>
          <w:highlight w:val="none"/>
        </w:rPr>
        <w:t>供应商对政府采购活动事项有疑问的，可以向采购人或采购代理机构提出询问。</w:t>
      </w:r>
    </w:p>
    <w:p w14:paraId="748704F9">
      <w:pPr>
        <w:adjustRightInd w:val="0"/>
        <w:snapToGrid w:val="0"/>
        <w:spacing w:line="520" w:lineRule="exact"/>
        <w:ind w:firstLine="420" w:firstLineChars="200"/>
        <w:jc w:val="left"/>
        <w:rPr>
          <w:rFonts w:ascii="宋体" w:hAnsi="宋体"/>
          <w:color w:val="auto"/>
          <w:szCs w:val="21"/>
          <w:highlight w:val="none"/>
        </w:rPr>
      </w:pPr>
      <w:r>
        <w:rPr>
          <w:rFonts w:ascii="宋体" w:hAnsi="宋体"/>
          <w:color w:val="auto"/>
          <w:szCs w:val="21"/>
          <w:highlight w:val="none"/>
        </w:rPr>
        <w:t>38.2</w:t>
      </w:r>
      <w:r>
        <w:rPr>
          <w:rFonts w:hint="eastAsia" w:ascii="宋体" w:hAnsi="宋体"/>
          <w:color w:val="auto"/>
          <w:szCs w:val="21"/>
          <w:highlight w:val="none"/>
        </w:rPr>
        <w:t>供应商若认为磋商文件、采购过程和成交结果使自己的权益受到损害，可以按法律、行政法规及湖南省财政厅规范性文件规定向采购人或采购代理机构提出质疑。</w:t>
      </w:r>
    </w:p>
    <w:p w14:paraId="7C3B2A21">
      <w:pPr>
        <w:adjustRightInd w:val="0"/>
        <w:snapToGrid w:val="0"/>
        <w:spacing w:line="520" w:lineRule="exact"/>
        <w:rPr>
          <w:rFonts w:ascii="宋体" w:hAnsi="宋体"/>
          <w:b/>
          <w:bCs/>
          <w:color w:val="auto"/>
          <w:szCs w:val="21"/>
          <w:highlight w:val="none"/>
        </w:rPr>
      </w:pPr>
      <w:r>
        <w:rPr>
          <w:rFonts w:ascii="宋体" w:hAnsi="宋体"/>
          <w:b/>
          <w:bCs/>
          <w:color w:val="auto"/>
          <w:szCs w:val="21"/>
          <w:highlight w:val="none"/>
        </w:rPr>
        <w:t>39.</w:t>
      </w:r>
      <w:r>
        <w:rPr>
          <w:rFonts w:hint="eastAsia" w:ascii="宋体" w:hAnsi="宋体"/>
          <w:b/>
          <w:bCs/>
          <w:color w:val="auto"/>
          <w:szCs w:val="21"/>
          <w:highlight w:val="none"/>
        </w:rPr>
        <w:t>成交通知</w:t>
      </w:r>
    </w:p>
    <w:p w14:paraId="5125BDF9">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39.1</w:t>
      </w:r>
      <w:r>
        <w:rPr>
          <w:rFonts w:hint="eastAsia" w:ascii="宋体" w:hAnsi="宋体"/>
          <w:color w:val="auto"/>
          <w:highlight w:val="none"/>
        </w:rPr>
        <w:t>成交供应商确定后，采购人或采购代理机构将以书面形式向成交供应商发出成交通知书。成交通知书对采购人和成交供应商具有同等法律效力。</w:t>
      </w:r>
    </w:p>
    <w:p w14:paraId="729778F0">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 xml:space="preserve">39.2 </w:t>
      </w:r>
      <w:r>
        <w:rPr>
          <w:rFonts w:hint="eastAsia" w:ascii="宋体" w:hAnsi="宋体"/>
          <w:color w:val="auto"/>
          <w:highlight w:val="none"/>
        </w:rPr>
        <w:t>成交通知书是合同文件的组成部分。</w:t>
      </w:r>
    </w:p>
    <w:p w14:paraId="1640BBAB">
      <w:pPr>
        <w:tabs>
          <w:tab w:val="left" w:pos="7560"/>
          <w:tab w:val="left" w:pos="7740"/>
          <w:tab w:val="left" w:pos="7920"/>
        </w:tabs>
        <w:autoSpaceDN w:val="0"/>
        <w:adjustRightInd w:val="0"/>
        <w:snapToGrid w:val="0"/>
        <w:spacing w:line="520" w:lineRule="exact"/>
        <w:ind w:firstLine="420" w:firstLineChars="200"/>
        <w:rPr>
          <w:rFonts w:ascii="宋体" w:hAnsi="宋体"/>
          <w:color w:val="auto"/>
          <w:szCs w:val="21"/>
          <w:highlight w:val="none"/>
        </w:rPr>
      </w:pPr>
      <w:r>
        <w:rPr>
          <w:rFonts w:ascii="宋体" w:hAnsi="宋体" w:cs="宋体"/>
          <w:color w:val="auto"/>
          <w:kern w:val="0"/>
          <w:szCs w:val="21"/>
          <w:highlight w:val="none"/>
        </w:rPr>
        <w:t xml:space="preserve">39.3 </w:t>
      </w:r>
      <w:r>
        <w:rPr>
          <w:rFonts w:hint="eastAsia" w:ascii="宋体" w:hAnsi="宋体"/>
          <w:color w:val="auto"/>
          <w:szCs w:val="21"/>
          <w:highlight w:val="none"/>
        </w:rPr>
        <w:t>成交供应商在收到采购代理机构的成交通知书后</w:t>
      </w:r>
      <w:r>
        <w:rPr>
          <w:rFonts w:ascii="宋体" w:hAnsi="宋体"/>
          <w:color w:val="auto"/>
          <w:szCs w:val="21"/>
          <w:highlight w:val="none"/>
        </w:rPr>
        <w:t>10</w:t>
      </w:r>
      <w:r>
        <w:rPr>
          <w:rFonts w:hint="eastAsia" w:ascii="宋体" w:hAnsi="宋体"/>
          <w:color w:val="auto"/>
          <w:szCs w:val="21"/>
          <w:highlight w:val="none"/>
        </w:rPr>
        <w:t>日内，应按照</w:t>
      </w:r>
      <w:r>
        <w:rPr>
          <w:rFonts w:hint="eastAsia" w:ascii="宋体" w:hAnsi="宋体"/>
          <w:b/>
          <w:color w:val="auto"/>
          <w:szCs w:val="21"/>
          <w:highlight w:val="none"/>
        </w:rPr>
        <w:t>磋商须知前附表</w:t>
      </w:r>
      <w:r>
        <w:rPr>
          <w:rFonts w:hint="eastAsia" w:ascii="宋体" w:hAnsi="宋体"/>
          <w:color w:val="auto"/>
          <w:szCs w:val="21"/>
          <w:highlight w:val="none"/>
        </w:rPr>
        <w:t>的规定，向采购人提交履约担保。联合体成交的，履约担保由联合体各方或联合体中牵头人的名义提交。</w:t>
      </w:r>
    </w:p>
    <w:p w14:paraId="0747E76D">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 xml:space="preserve">39.4 </w:t>
      </w:r>
      <w:r>
        <w:rPr>
          <w:rFonts w:hint="eastAsia" w:ascii="宋体" w:hAnsi="宋体"/>
          <w:color w:val="auto"/>
          <w:highlight w:val="none"/>
        </w:rPr>
        <w:t>成交供应商</w:t>
      </w:r>
      <w:r>
        <w:rPr>
          <w:rFonts w:hint="eastAsia" w:ascii="宋体" w:hAnsi="宋体"/>
          <w:color w:val="auto"/>
          <w:spacing w:val="4"/>
          <w:highlight w:val="none"/>
        </w:rPr>
        <w:t>没有按照本章第</w:t>
      </w:r>
      <w:r>
        <w:rPr>
          <w:rFonts w:ascii="宋体" w:hAnsi="宋体"/>
          <w:color w:val="auto"/>
          <w:spacing w:val="4"/>
          <w:highlight w:val="none"/>
        </w:rPr>
        <w:t>39.3</w:t>
      </w:r>
      <w:r>
        <w:rPr>
          <w:rFonts w:hint="eastAsia" w:ascii="宋体" w:hAnsi="宋体" w:cs="宋体"/>
          <w:color w:val="auto"/>
          <w:highlight w:val="none"/>
          <w:lang w:val="zh-CN"/>
        </w:rPr>
        <w:t>款</w:t>
      </w:r>
      <w:r>
        <w:rPr>
          <w:rFonts w:hint="eastAsia" w:ascii="宋体" w:hAnsi="宋体"/>
          <w:color w:val="auto"/>
          <w:spacing w:val="4"/>
          <w:highlight w:val="none"/>
        </w:rPr>
        <w:t>规定</w:t>
      </w:r>
      <w:r>
        <w:rPr>
          <w:rFonts w:hint="eastAsia" w:ascii="宋体" w:hAnsi="宋体"/>
          <w:color w:val="auto"/>
          <w:highlight w:val="none"/>
        </w:rPr>
        <w:t>提交履约担保的</w:t>
      </w:r>
      <w:r>
        <w:rPr>
          <w:rFonts w:hint="eastAsia" w:ascii="宋体" w:hAnsi="宋体"/>
          <w:color w:val="auto"/>
          <w:spacing w:val="4"/>
          <w:highlight w:val="none"/>
        </w:rPr>
        <w:t>，视为放弃</w:t>
      </w:r>
      <w:r>
        <w:rPr>
          <w:rFonts w:hint="eastAsia" w:ascii="宋体" w:hAnsi="宋体"/>
          <w:color w:val="auto"/>
          <w:highlight w:val="none"/>
        </w:rPr>
        <w:t>成交资格</w:t>
      </w:r>
      <w:r>
        <w:rPr>
          <w:rFonts w:hint="eastAsia" w:ascii="宋体" w:hAnsi="宋体"/>
          <w:color w:val="auto"/>
          <w:spacing w:val="4"/>
          <w:highlight w:val="none"/>
        </w:rPr>
        <w:t>，</w:t>
      </w:r>
      <w:r>
        <w:rPr>
          <w:rFonts w:hint="eastAsia" w:ascii="宋体" w:hAnsi="宋体"/>
          <w:color w:val="auto"/>
          <w:spacing w:val="2"/>
          <w:highlight w:val="none"/>
        </w:rPr>
        <w:t>其保证金不予退还。</w:t>
      </w:r>
    </w:p>
    <w:p w14:paraId="2F82CD87">
      <w:pPr>
        <w:adjustRightInd w:val="0"/>
        <w:snapToGrid w:val="0"/>
        <w:spacing w:line="520" w:lineRule="exact"/>
        <w:rPr>
          <w:rFonts w:ascii="宋体" w:hAnsi="宋体"/>
          <w:b/>
          <w:bCs/>
          <w:color w:val="auto"/>
          <w:szCs w:val="21"/>
          <w:highlight w:val="none"/>
        </w:rPr>
      </w:pPr>
      <w:r>
        <w:rPr>
          <w:rFonts w:ascii="宋体" w:hAnsi="宋体"/>
          <w:b/>
          <w:bCs/>
          <w:color w:val="auto"/>
          <w:szCs w:val="21"/>
          <w:highlight w:val="none"/>
        </w:rPr>
        <w:t>40.</w:t>
      </w:r>
      <w:r>
        <w:rPr>
          <w:rFonts w:hint="eastAsia" w:ascii="宋体" w:hAnsi="宋体"/>
          <w:b/>
          <w:bCs/>
          <w:color w:val="auto"/>
          <w:szCs w:val="21"/>
          <w:highlight w:val="none"/>
        </w:rPr>
        <w:t>签订合同</w:t>
      </w:r>
    </w:p>
    <w:p w14:paraId="1D023E6D">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40.1</w:t>
      </w:r>
      <w:r>
        <w:rPr>
          <w:rFonts w:hint="eastAsia" w:ascii="宋体" w:hAnsi="宋体"/>
          <w:color w:val="auto"/>
          <w:highlight w:val="none"/>
        </w:rPr>
        <w:t>成交供应商应当在成交通知书发出之日起</w:t>
      </w:r>
      <w:r>
        <w:rPr>
          <w:rFonts w:ascii="宋体" w:hAnsi="宋体"/>
          <w:color w:val="auto"/>
          <w:highlight w:val="none"/>
        </w:rPr>
        <w:t>30</w:t>
      </w:r>
      <w:r>
        <w:rPr>
          <w:rFonts w:hint="eastAsia" w:ascii="宋体" w:hAnsi="宋体"/>
          <w:color w:val="auto"/>
          <w:highlight w:val="none"/>
        </w:rPr>
        <w:t>日内与采购人签订政府采购合同。</w:t>
      </w:r>
    </w:p>
    <w:p w14:paraId="5784A8A1">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40.2</w:t>
      </w:r>
      <w:r>
        <w:rPr>
          <w:rFonts w:hint="eastAsia" w:ascii="宋体" w:hAnsi="宋体"/>
          <w:color w:val="auto"/>
          <w:highlight w:val="none"/>
        </w:rPr>
        <w:t>磋商文件、成交供应商的响应文件等均为签订政府采购合同的依据。</w:t>
      </w:r>
    </w:p>
    <w:p w14:paraId="61DA1902">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 xml:space="preserve">40.3 </w:t>
      </w:r>
      <w:r>
        <w:rPr>
          <w:rFonts w:hint="eastAsia" w:ascii="宋体" w:hAnsi="宋体"/>
          <w:color w:val="auto"/>
          <w:highlight w:val="none"/>
        </w:rPr>
        <w:t>成交供应商应当按照合同约定履行义务。成交供应商不得向他人转让成交项目，也不得将成交项目分包后分别向他人转让。</w:t>
      </w:r>
    </w:p>
    <w:p w14:paraId="2033E7FF">
      <w:pPr>
        <w:adjustRightInd w:val="0"/>
        <w:snapToGrid w:val="0"/>
        <w:spacing w:line="520" w:lineRule="exact"/>
        <w:ind w:firstLine="420" w:firstLineChars="200"/>
        <w:rPr>
          <w:rFonts w:ascii="宋体" w:hAnsi="宋体"/>
          <w:color w:val="auto"/>
          <w:highlight w:val="none"/>
        </w:rPr>
      </w:pPr>
      <w:r>
        <w:rPr>
          <w:rFonts w:ascii="宋体" w:hAnsi="宋体"/>
          <w:color w:val="auto"/>
          <w:highlight w:val="none"/>
        </w:rPr>
        <w:t xml:space="preserve">40.4 </w:t>
      </w:r>
      <w:r>
        <w:rPr>
          <w:rFonts w:hint="eastAsia" w:ascii="宋体" w:hAnsi="宋体"/>
          <w:color w:val="auto"/>
          <w:highlight w:val="none"/>
        </w:rPr>
        <w:t>成交供应商有下列情形之一的，责令限期改正，情节严重的，列入不良行为记录名单，在</w:t>
      </w:r>
      <w:r>
        <w:rPr>
          <w:rFonts w:ascii="宋体" w:hAnsi="宋体"/>
          <w:color w:val="auto"/>
          <w:highlight w:val="none"/>
        </w:rPr>
        <w:t>1</w:t>
      </w:r>
      <w:r>
        <w:rPr>
          <w:rFonts w:hint="eastAsia" w:ascii="宋体" w:hAnsi="宋体"/>
          <w:color w:val="auto"/>
          <w:highlight w:val="none"/>
        </w:rPr>
        <w:t>至</w:t>
      </w:r>
      <w:r>
        <w:rPr>
          <w:rFonts w:ascii="宋体" w:hAnsi="宋体"/>
          <w:color w:val="auto"/>
          <w:highlight w:val="none"/>
        </w:rPr>
        <w:t>3</w:t>
      </w:r>
      <w:r>
        <w:rPr>
          <w:rFonts w:hint="eastAsia" w:ascii="宋体" w:hAnsi="宋体"/>
          <w:color w:val="auto"/>
          <w:highlight w:val="none"/>
        </w:rPr>
        <w:t>年内禁止参加政府采购活动，并予以通报：</w:t>
      </w:r>
    </w:p>
    <w:p w14:paraId="28961FEB">
      <w:pPr>
        <w:adjustRightInd w:val="0"/>
        <w:snapToGrid w:val="0"/>
        <w:spacing w:line="520" w:lineRule="exact"/>
        <w:ind w:firstLine="420" w:firstLineChars="200"/>
        <w:rPr>
          <w:rFonts w:ascii="宋体" w:hAnsi="宋体"/>
          <w:color w:val="auto"/>
          <w:highlight w:val="none"/>
        </w:rPr>
      </w:pPr>
      <w:r>
        <w:rPr>
          <w:rFonts w:hint="eastAsia" w:ascii="宋体" w:hAnsi="宋体"/>
          <w:color w:val="auto"/>
          <w:highlight w:val="none"/>
        </w:rPr>
        <w:t>（一）成交后无正当理由不与采购人签订合同的；</w:t>
      </w:r>
    </w:p>
    <w:p w14:paraId="24766EA1">
      <w:pPr>
        <w:adjustRightInd w:val="0"/>
        <w:snapToGrid w:val="0"/>
        <w:spacing w:line="520" w:lineRule="exact"/>
        <w:ind w:firstLine="420" w:firstLineChars="200"/>
        <w:rPr>
          <w:rFonts w:ascii="宋体" w:hAnsi="宋体"/>
          <w:color w:val="auto"/>
          <w:highlight w:val="none"/>
        </w:rPr>
      </w:pPr>
      <w:r>
        <w:rPr>
          <w:rFonts w:hint="eastAsia" w:ascii="宋体" w:hAnsi="宋体"/>
          <w:color w:val="auto"/>
          <w:highlight w:val="none"/>
        </w:rPr>
        <w:t>（二）未按照采购文件确定的事项签订政府采购合同，或者与采购人另行订立背离合同实质性内容的协议的；</w:t>
      </w:r>
    </w:p>
    <w:p w14:paraId="75B0D8D1">
      <w:pPr>
        <w:adjustRightInd w:val="0"/>
        <w:snapToGrid w:val="0"/>
        <w:spacing w:line="520" w:lineRule="exact"/>
        <w:ind w:firstLine="420" w:firstLineChars="200"/>
        <w:rPr>
          <w:rFonts w:ascii="宋体" w:hAnsi="宋体"/>
          <w:color w:val="auto"/>
          <w:highlight w:val="none"/>
        </w:rPr>
      </w:pPr>
      <w:r>
        <w:rPr>
          <w:rFonts w:hint="eastAsia" w:ascii="宋体" w:hAnsi="宋体"/>
          <w:color w:val="auto"/>
          <w:highlight w:val="none"/>
        </w:rPr>
        <w:t>（三）拒绝履行合同义务的；</w:t>
      </w:r>
    </w:p>
    <w:p w14:paraId="6E1946EA">
      <w:pPr>
        <w:adjustRightInd w:val="0"/>
        <w:snapToGrid w:val="0"/>
        <w:spacing w:line="520" w:lineRule="exact"/>
        <w:ind w:firstLine="420" w:firstLineChars="200"/>
        <w:rPr>
          <w:rFonts w:ascii="宋体" w:hAnsi="宋体" w:cs="宋体"/>
          <w:color w:val="auto"/>
          <w:highlight w:val="none"/>
        </w:rPr>
      </w:pPr>
      <w:r>
        <w:rPr>
          <w:rFonts w:hint="eastAsia" w:ascii="宋体" w:hAnsi="宋体"/>
          <w:color w:val="auto"/>
          <w:highlight w:val="none"/>
        </w:rPr>
        <w:t>（四）</w:t>
      </w:r>
      <w:r>
        <w:rPr>
          <w:rFonts w:hint="eastAsia" w:ascii="宋体" w:hAnsi="宋体" w:cs="宋体"/>
          <w:color w:val="auto"/>
          <w:highlight w:val="none"/>
        </w:rPr>
        <w:t>违反法律、规章、规范性文件规定的。</w:t>
      </w:r>
    </w:p>
    <w:p w14:paraId="15B8CC60">
      <w:pPr>
        <w:adjustRightInd w:val="0"/>
        <w:snapToGrid w:val="0"/>
        <w:spacing w:line="520" w:lineRule="exact"/>
        <w:rPr>
          <w:rFonts w:ascii="宋体" w:hAnsi="宋体"/>
          <w:color w:val="auto"/>
          <w:sz w:val="24"/>
          <w:highlight w:val="none"/>
        </w:rPr>
      </w:pPr>
      <w:r>
        <w:rPr>
          <w:rFonts w:hint="eastAsia" w:ascii="宋体" w:hAnsi="宋体"/>
          <w:color w:val="auto"/>
          <w:sz w:val="24"/>
          <w:highlight w:val="none"/>
        </w:rPr>
        <w:t>七、其他规定</w:t>
      </w:r>
    </w:p>
    <w:p w14:paraId="1CFB5D4C">
      <w:pPr>
        <w:adjustRightInd w:val="0"/>
        <w:snapToGrid w:val="0"/>
        <w:spacing w:line="520" w:lineRule="exact"/>
        <w:jc w:val="left"/>
        <w:rPr>
          <w:rFonts w:ascii="宋体" w:hAnsi="宋体"/>
          <w:b/>
          <w:color w:val="auto"/>
          <w:szCs w:val="21"/>
          <w:highlight w:val="none"/>
        </w:rPr>
      </w:pPr>
      <w:r>
        <w:rPr>
          <w:rFonts w:ascii="宋体" w:hAnsi="宋体"/>
          <w:b/>
          <w:color w:val="auto"/>
          <w:szCs w:val="21"/>
          <w:highlight w:val="none"/>
        </w:rPr>
        <w:t>41.1</w:t>
      </w:r>
      <w:r>
        <w:rPr>
          <w:rFonts w:hint="eastAsia" w:ascii="宋体" w:hAnsi="宋体"/>
          <w:b/>
          <w:color w:val="auto"/>
          <w:szCs w:val="21"/>
          <w:highlight w:val="none"/>
        </w:rPr>
        <w:t>采购代理服务费</w:t>
      </w:r>
    </w:p>
    <w:p w14:paraId="0B79BA02">
      <w:pPr>
        <w:tabs>
          <w:tab w:val="left" w:pos="420"/>
          <w:tab w:val="left" w:pos="7560"/>
          <w:tab w:val="left" w:pos="7740"/>
          <w:tab w:val="left" w:pos="7920"/>
        </w:tabs>
        <w:adjustRightInd w:val="0"/>
        <w:snapToGrid w:val="0"/>
        <w:spacing w:line="520" w:lineRule="exact"/>
        <w:ind w:firstLine="420" w:firstLineChars="200"/>
        <w:rPr>
          <w:rFonts w:ascii="宋体" w:hAnsi="宋体"/>
          <w:color w:val="auto"/>
          <w:szCs w:val="21"/>
          <w:highlight w:val="none"/>
        </w:rPr>
      </w:pPr>
      <w:r>
        <w:rPr>
          <w:rFonts w:ascii="宋体" w:hAnsi="宋体"/>
          <w:color w:val="auto"/>
          <w:szCs w:val="21"/>
          <w:highlight w:val="none"/>
        </w:rPr>
        <w:t>41.1</w:t>
      </w:r>
      <w:r>
        <w:rPr>
          <w:rFonts w:hint="eastAsia" w:ascii="宋体" w:hAnsi="宋体"/>
          <w:color w:val="auto"/>
          <w:szCs w:val="21"/>
          <w:highlight w:val="none"/>
        </w:rPr>
        <w:t>采购代理机构应按</w:t>
      </w:r>
      <w:r>
        <w:rPr>
          <w:rFonts w:hint="eastAsia" w:ascii="宋体" w:hAnsi="宋体"/>
          <w:b/>
          <w:color w:val="auto"/>
          <w:szCs w:val="21"/>
          <w:highlight w:val="none"/>
        </w:rPr>
        <w:t>磋商须知前附表</w:t>
      </w:r>
      <w:r>
        <w:rPr>
          <w:rFonts w:hint="eastAsia" w:ascii="宋体" w:hAnsi="宋体"/>
          <w:color w:val="auto"/>
          <w:szCs w:val="21"/>
          <w:highlight w:val="none"/>
        </w:rPr>
        <w:t>规定收取采购代理服务费。</w:t>
      </w:r>
    </w:p>
    <w:p w14:paraId="475370D9">
      <w:pPr>
        <w:tabs>
          <w:tab w:val="left" w:pos="420"/>
          <w:tab w:val="left" w:pos="7560"/>
          <w:tab w:val="left" w:pos="7740"/>
          <w:tab w:val="left" w:pos="7920"/>
        </w:tabs>
        <w:adjustRightInd w:val="0"/>
        <w:snapToGrid w:val="0"/>
        <w:spacing w:line="520" w:lineRule="exact"/>
        <w:ind w:firstLine="420" w:firstLineChars="200"/>
        <w:rPr>
          <w:rFonts w:ascii="宋体" w:hAnsi="宋体"/>
          <w:color w:val="auto"/>
          <w:szCs w:val="21"/>
          <w:highlight w:val="none"/>
        </w:rPr>
      </w:pPr>
      <w:r>
        <w:rPr>
          <w:rFonts w:ascii="宋体" w:hAnsi="宋体"/>
          <w:color w:val="auto"/>
          <w:szCs w:val="21"/>
          <w:highlight w:val="none"/>
        </w:rPr>
        <w:t>41.2</w:t>
      </w:r>
      <w:r>
        <w:rPr>
          <w:rFonts w:hint="eastAsia" w:ascii="宋体" w:hAnsi="宋体"/>
          <w:color w:val="auto"/>
          <w:szCs w:val="21"/>
          <w:highlight w:val="none"/>
        </w:rPr>
        <w:t>集中采购机构不得收取采购代理服务费。</w:t>
      </w:r>
    </w:p>
    <w:p w14:paraId="30043F89">
      <w:pPr>
        <w:tabs>
          <w:tab w:val="left" w:pos="420"/>
          <w:tab w:val="left" w:pos="7560"/>
          <w:tab w:val="left" w:pos="7740"/>
          <w:tab w:val="left" w:pos="7920"/>
        </w:tabs>
        <w:adjustRightInd w:val="0"/>
        <w:snapToGrid w:val="0"/>
        <w:spacing w:line="520" w:lineRule="exact"/>
        <w:rPr>
          <w:rFonts w:ascii="宋体" w:hAnsi="宋体"/>
          <w:b/>
          <w:color w:val="auto"/>
          <w:highlight w:val="none"/>
        </w:rPr>
      </w:pPr>
      <w:r>
        <w:rPr>
          <w:rFonts w:ascii="宋体" w:hAnsi="宋体"/>
          <w:b/>
          <w:color w:val="auto"/>
          <w:szCs w:val="21"/>
          <w:highlight w:val="none"/>
        </w:rPr>
        <w:t>42.</w:t>
      </w:r>
      <w:r>
        <w:rPr>
          <w:rFonts w:ascii="宋体" w:hAnsi="宋体"/>
          <w:b/>
          <w:color w:val="auto"/>
          <w:highlight w:val="none"/>
        </w:rPr>
        <w:t xml:space="preserve"> </w:t>
      </w:r>
      <w:r>
        <w:rPr>
          <w:rFonts w:hint="eastAsia" w:ascii="宋体" w:hAnsi="宋体"/>
          <w:b/>
          <w:color w:val="auto"/>
          <w:highlight w:val="none"/>
        </w:rPr>
        <w:t>其他规定</w:t>
      </w:r>
    </w:p>
    <w:p w14:paraId="5F2E0143">
      <w:pPr>
        <w:tabs>
          <w:tab w:val="left" w:pos="420"/>
          <w:tab w:val="left" w:pos="7560"/>
          <w:tab w:val="left" w:pos="7740"/>
          <w:tab w:val="left" w:pos="7920"/>
        </w:tabs>
        <w:adjustRightInd w:val="0"/>
        <w:snapToGrid w:val="0"/>
        <w:spacing w:line="520" w:lineRule="exact"/>
        <w:ind w:firstLine="420" w:firstLineChars="200"/>
        <w:rPr>
          <w:rFonts w:ascii="宋体" w:hAnsi="宋体"/>
          <w:b/>
          <w:color w:val="auto"/>
          <w:sz w:val="32"/>
          <w:szCs w:val="32"/>
          <w:highlight w:val="none"/>
        </w:rPr>
      </w:pPr>
      <w:r>
        <w:rPr>
          <w:rFonts w:ascii="宋体" w:hAnsi="宋体"/>
          <w:color w:val="auto"/>
          <w:highlight w:val="none"/>
        </w:rPr>
        <w:t>42.1</w:t>
      </w:r>
      <w:r>
        <w:rPr>
          <w:rFonts w:hint="eastAsia" w:ascii="宋体" w:hAnsi="宋体"/>
          <w:color w:val="auto"/>
          <w:szCs w:val="21"/>
          <w:highlight w:val="none"/>
        </w:rPr>
        <w:t>磋商文件</w:t>
      </w:r>
      <w:r>
        <w:rPr>
          <w:rFonts w:hint="eastAsia" w:ascii="宋体" w:hAnsi="宋体"/>
          <w:color w:val="auto"/>
          <w:highlight w:val="none"/>
        </w:rPr>
        <w:t>的其他规定</w:t>
      </w:r>
      <w:r>
        <w:rPr>
          <w:rFonts w:hint="eastAsia" w:ascii="宋体" w:hAnsi="宋体"/>
          <w:color w:val="auto"/>
          <w:szCs w:val="21"/>
          <w:highlight w:val="none"/>
        </w:rPr>
        <w:t>见</w:t>
      </w:r>
      <w:r>
        <w:rPr>
          <w:rFonts w:hint="eastAsia" w:ascii="宋体" w:hAnsi="宋体"/>
          <w:b/>
          <w:color w:val="auto"/>
          <w:szCs w:val="21"/>
          <w:highlight w:val="none"/>
        </w:rPr>
        <w:t>磋商须知前附表</w:t>
      </w:r>
      <w:r>
        <w:rPr>
          <w:rFonts w:hint="eastAsia" w:ascii="宋体" w:hAnsi="宋体"/>
          <w:color w:val="auto"/>
          <w:szCs w:val="21"/>
          <w:highlight w:val="none"/>
        </w:rPr>
        <w:t>。</w:t>
      </w:r>
    </w:p>
    <w:p w14:paraId="78D6241D">
      <w:pPr>
        <w:pageBreakBefore w:val="0"/>
        <w:shd w:val="clear"/>
        <w:bidi w:val="0"/>
        <w:adjustRightInd w:val="0"/>
        <w:snapToGrid w:val="0"/>
        <w:spacing w:beforeAutospacing="0" w:afterAutospacing="0" w:line="568" w:lineRule="exact"/>
        <w:rPr>
          <w:color w:val="auto"/>
          <w:highlight w:val="none"/>
        </w:rPr>
      </w:pPr>
      <w:r>
        <w:rPr>
          <w:rFonts w:ascii="宋体" w:hAnsi="宋体"/>
          <w:b/>
          <w:color w:val="auto"/>
          <w:sz w:val="32"/>
          <w:szCs w:val="32"/>
          <w:highlight w:val="none"/>
        </w:rPr>
        <w:br w:type="page"/>
      </w:r>
    </w:p>
    <w:p w14:paraId="1147E1C0">
      <w:pPr>
        <w:pStyle w:val="57"/>
        <w:pageBreakBefore w:val="0"/>
        <w:shd w:val="clear"/>
        <w:bidi w:val="0"/>
        <w:adjustRightInd w:val="0"/>
        <w:snapToGrid w:val="0"/>
        <w:spacing w:beforeAutospacing="0" w:afterAutospacing="0" w:line="568" w:lineRule="exact"/>
        <w:rPr>
          <w:color w:val="auto"/>
          <w:highlight w:val="none"/>
        </w:rPr>
      </w:pPr>
    </w:p>
    <w:p w14:paraId="4E3BB453">
      <w:pPr>
        <w:pStyle w:val="57"/>
        <w:pageBreakBefore w:val="0"/>
        <w:shd w:val="clear"/>
        <w:bidi w:val="0"/>
        <w:adjustRightInd w:val="0"/>
        <w:snapToGrid w:val="0"/>
        <w:spacing w:beforeAutospacing="0" w:afterAutospacing="0" w:line="568" w:lineRule="exact"/>
        <w:rPr>
          <w:color w:val="auto"/>
          <w:highlight w:val="none"/>
        </w:rPr>
      </w:pPr>
    </w:p>
    <w:p w14:paraId="71850249">
      <w:pPr>
        <w:pStyle w:val="57"/>
        <w:pageBreakBefore w:val="0"/>
        <w:shd w:val="clear"/>
        <w:bidi w:val="0"/>
        <w:adjustRightInd w:val="0"/>
        <w:snapToGrid w:val="0"/>
        <w:spacing w:beforeAutospacing="0" w:afterAutospacing="0" w:line="568" w:lineRule="exact"/>
        <w:rPr>
          <w:color w:val="auto"/>
          <w:highlight w:val="none"/>
        </w:rPr>
      </w:pPr>
    </w:p>
    <w:p w14:paraId="47F91D80">
      <w:pPr>
        <w:pageBreakBefore w:val="0"/>
        <w:shd w:val="clear"/>
        <w:bidi w:val="0"/>
        <w:adjustRightInd w:val="0"/>
        <w:snapToGrid w:val="0"/>
        <w:spacing w:beforeAutospacing="0" w:afterAutospacing="0" w:line="568" w:lineRule="exact"/>
        <w:jc w:val="both"/>
        <w:rPr>
          <w:rFonts w:ascii="方正小标宋简体" w:hAnsi="方正小标宋简体" w:eastAsia="方正小标宋简体" w:cs="方正小标宋简体"/>
          <w:bCs/>
          <w:color w:val="auto"/>
          <w:sz w:val="72"/>
          <w:szCs w:val="72"/>
          <w:highlight w:val="none"/>
        </w:rPr>
      </w:pPr>
    </w:p>
    <w:p w14:paraId="132F025C">
      <w:pPr>
        <w:pStyle w:val="57"/>
        <w:pageBreakBefore w:val="0"/>
        <w:shd w:val="clear"/>
        <w:bidi w:val="0"/>
        <w:adjustRightInd w:val="0"/>
        <w:snapToGrid w:val="0"/>
        <w:spacing w:beforeAutospacing="0" w:afterAutospacing="0" w:line="568" w:lineRule="exact"/>
        <w:ind w:left="0" w:leftChars="0" w:firstLine="0" w:firstLineChars="0"/>
        <w:rPr>
          <w:rFonts w:ascii="方正小标宋简体" w:hAnsi="方正小标宋简体" w:eastAsia="方正小标宋简体" w:cs="方正小标宋简体"/>
          <w:bCs/>
          <w:color w:val="auto"/>
          <w:sz w:val="72"/>
          <w:szCs w:val="72"/>
          <w:highlight w:val="none"/>
        </w:rPr>
      </w:pPr>
    </w:p>
    <w:p w14:paraId="00820359">
      <w:pPr>
        <w:pStyle w:val="57"/>
        <w:pageBreakBefore w:val="0"/>
        <w:shd w:val="clear"/>
        <w:bidi w:val="0"/>
        <w:adjustRightInd w:val="0"/>
        <w:snapToGrid w:val="0"/>
        <w:spacing w:beforeAutospacing="0" w:afterAutospacing="0" w:line="568" w:lineRule="exact"/>
        <w:rPr>
          <w:color w:val="auto"/>
          <w:highlight w:val="none"/>
        </w:rPr>
      </w:pPr>
    </w:p>
    <w:p w14:paraId="79427A6D">
      <w:pPr>
        <w:pageBreakBefore w:val="0"/>
        <w:shd w:val="clear"/>
        <w:bidi w:val="0"/>
        <w:adjustRightInd w:val="0"/>
        <w:snapToGrid w:val="0"/>
        <w:spacing w:beforeAutospacing="0" w:afterAutospacing="0" w:line="568" w:lineRule="exact"/>
        <w:jc w:val="center"/>
        <w:rPr>
          <w:rFonts w:hint="eastAsia" w:ascii="黑体" w:hAnsi="黑体" w:eastAsia="黑体" w:cs="黑体"/>
          <w:b/>
          <w:bCs w:val="0"/>
          <w:color w:val="auto"/>
          <w:sz w:val="52"/>
          <w:szCs w:val="52"/>
          <w:highlight w:val="none"/>
        </w:rPr>
      </w:pPr>
      <w:r>
        <w:rPr>
          <w:rFonts w:hint="eastAsia" w:ascii="黑体" w:hAnsi="黑体" w:eastAsia="黑体" w:cs="黑体"/>
          <w:b/>
          <w:bCs w:val="0"/>
          <w:color w:val="auto"/>
          <w:sz w:val="52"/>
          <w:szCs w:val="52"/>
          <w:highlight w:val="none"/>
        </w:rPr>
        <w:t>建设工程施工合同</w:t>
      </w:r>
    </w:p>
    <w:p w14:paraId="1C8DA0E9">
      <w:pPr>
        <w:pageBreakBefore w:val="0"/>
        <w:shd w:val="clear"/>
        <w:bidi w:val="0"/>
        <w:adjustRightInd w:val="0"/>
        <w:snapToGrid w:val="0"/>
        <w:spacing w:beforeAutospacing="0" w:afterAutospacing="0" w:line="568" w:lineRule="exact"/>
        <w:jc w:val="center"/>
        <w:rPr>
          <w:rFonts w:hint="eastAsia" w:ascii="方正小标宋简体" w:hAnsi="方正小标宋简体" w:eastAsia="方正小标宋简体" w:cs="方正小标宋简体"/>
          <w:bCs/>
          <w:color w:val="auto"/>
          <w:sz w:val="36"/>
          <w:szCs w:val="36"/>
          <w:highlight w:val="none"/>
        </w:rPr>
      </w:pPr>
      <w:r>
        <w:rPr>
          <w:rFonts w:hint="eastAsia" w:ascii="方正小标宋简体" w:hAnsi="方正小标宋简体" w:eastAsia="方正小标宋简体" w:cs="方正小标宋简体"/>
          <w:bCs/>
          <w:color w:val="auto"/>
          <w:sz w:val="36"/>
          <w:szCs w:val="36"/>
          <w:highlight w:val="none"/>
        </w:rPr>
        <w:t xml:space="preserve"> </w:t>
      </w:r>
    </w:p>
    <w:p w14:paraId="544698E3">
      <w:pPr>
        <w:pStyle w:val="57"/>
        <w:pageBreakBefore w:val="0"/>
        <w:shd w:val="clear"/>
        <w:bidi w:val="0"/>
        <w:adjustRightInd w:val="0"/>
        <w:snapToGrid w:val="0"/>
        <w:spacing w:beforeAutospacing="0" w:afterAutospacing="0" w:line="568" w:lineRule="exact"/>
        <w:rPr>
          <w:rFonts w:hint="eastAsia" w:ascii="方正小标宋简体" w:hAnsi="方正小标宋简体" w:eastAsia="方正小标宋简体" w:cs="方正小标宋简体"/>
          <w:bCs/>
          <w:color w:val="auto"/>
          <w:sz w:val="36"/>
          <w:szCs w:val="36"/>
          <w:highlight w:val="none"/>
        </w:rPr>
      </w:pPr>
    </w:p>
    <w:p w14:paraId="414C7890">
      <w:pPr>
        <w:pStyle w:val="57"/>
        <w:pageBreakBefore w:val="0"/>
        <w:shd w:val="clear"/>
        <w:bidi w:val="0"/>
        <w:adjustRightInd w:val="0"/>
        <w:snapToGrid w:val="0"/>
        <w:spacing w:beforeAutospacing="0" w:afterAutospacing="0" w:line="568" w:lineRule="exact"/>
        <w:rPr>
          <w:rFonts w:hint="eastAsia" w:ascii="方正小标宋简体" w:hAnsi="方正小标宋简体" w:eastAsia="方正小标宋简体" w:cs="方正小标宋简体"/>
          <w:bCs/>
          <w:color w:val="auto"/>
          <w:sz w:val="36"/>
          <w:szCs w:val="36"/>
          <w:highlight w:val="none"/>
        </w:rPr>
      </w:pPr>
    </w:p>
    <w:p w14:paraId="7D15FC79">
      <w:pPr>
        <w:pageBreakBefore w:val="0"/>
        <w:shd w:val="clear"/>
        <w:bidi w:val="0"/>
        <w:adjustRightInd w:val="0"/>
        <w:snapToGrid w:val="0"/>
        <w:spacing w:beforeAutospacing="0" w:afterAutospacing="0" w:line="568" w:lineRule="exact"/>
        <w:rPr>
          <w:rFonts w:ascii="仿宋_GB2312" w:hAnsi="仿宋_GB2312" w:eastAsia="仿宋_GB2312" w:cs="仿宋_GB2312"/>
          <w:b/>
          <w:color w:val="auto"/>
          <w:sz w:val="32"/>
          <w:szCs w:val="32"/>
          <w:highlight w:val="none"/>
        </w:rPr>
      </w:pPr>
    </w:p>
    <w:p w14:paraId="0F304252">
      <w:pPr>
        <w:pStyle w:val="57"/>
        <w:pageBreakBefore w:val="0"/>
        <w:shd w:val="clear"/>
        <w:bidi w:val="0"/>
        <w:adjustRightInd w:val="0"/>
        <w:snapToGrid w:val="0"/>
        <w:spacing w:beforeAutospacing="0" w:afterAutospacing="0" w:line="568" w:lineRule="exact"/>
        <w:rPr>
          <w:rFonts w:ascii="仿宋_GB2312" w:hAnsi="仿宋_GB2312" w:eastAsia="仿宋_GB2312" w:cs="仿宋_GB2312"/>
          <w:b/>
          <w:color w:val="auto"/>
          <w:sz w:val="32"/>
          <w:szCs w:val="32"/>
          <w:highlight w:val="none"/>
        </w:rPr>
      </w:pPr>
    </w:p>
    <w:p w14:paraId="2177D2C0">
      <w:pPr>
        <w:pStyle w:val="57"/>
        <w:pageBreakBefore w:val="0"/>
        <w:shd w:val="clear"/>
        <w:bidi w:val="0"/>
        <w:adjustRightInd w:val="0"/>
        <w:snapToGrid w:val="0"/>
        <w:spacing w:beforeAutospacing="0" w:afterAutospacing="0" w:line="568" w:lineRule="exact"/>
        <w:rPr>
          <w:rFonts w:ascii="仿宋_GB2312" w:hAnsi="仿宋_GB2312" w:eastAsia="仿宋_GB2312" w:cs="仿宋_GB2312"/>
          <w:b/>
          <w:color w:val="auto"/>
          <w:sz w:val="32"/>
          <w:szCs w:val="32"/>
          <w:highlight w:val="none"/>
        </w:rPr>
      </w:pPr>
    </w:p>
    <w:p w14:paraId="5AC5678A">
      <w:pPr>
        <w:pStyle w:val="57"/>
        <w:pageBreakBefore w:val="0"/>
        <w:shd w:val="clear"/>
        <w:bidi w:val="0"/>
        <w:adjustRightInd w:val="0"/>
        <w:snapToGrid w:val="0"/>
        <w:spacing w:beforeAutospacing="0" w:afterAutospacing="0" w:line="568" w:lineRule="exact"/>
        <w:rPr>
          <w:rFonts w:ascii="仿宋_GB2312" w:hAnsi="仿宋_GB2312" w:eastAsia="仿宋_GB2312" w:cs="仿宋_GB2312"/>
          <w:b/>
          <w:color w:val="auto"/>
          <w:sz w:val="32"/>
          <w:szCs w:val="32"/>
          <w:highlight w:val="none"/>
        </w:rPr>
      </w:pPr>
    </w:p>
    <w:p w14:paraId="619D5D18">
      <w:pPr>
        <w:pStyle w:val="57"/>
        <w:pageBreakBefore w:val="0"/>
        <w:shd w:val="clear"/>
        <w:bidi w:val="0"/>
        <w:adjustRightInd w:val="0"/>
        <w:snapToGrid w:val="0"/>
        <w:spacing w:beforeAutospacing="0" w:afterAutospacing="0" w:line="568" w:lineRule="exact"/>
        <w:rPr>
          <w:rFonts w:ascii="仿宋_GB2312" w:hAnsi="仿宋_GB2312" w:eastAsia="仿宋_GB2312" w:cs="仿宋_GB2312"/>
          <w:b/>
          <w:color w:val="auto"/>
          <w:sz w:val="32"/>
          <w:szCs w:val="32"/>
          <w:highlight w:val="none"/>
        </w:rPr>
      </w:pPr>
    </w:p>
    <w:p w14:paraId="0A6F8704">
      <w:pPr>
        <w:pStyle w:val="57"/>
        <w:pageBreakBefore w:val="0"/>
        <w:shd w:val="clear"/>
        <w:bidi w:val="0"/>
        <w:adjustRightInd w:val="0"/>
        <w:snapToGrid w:val="0"/>
        <w:spacing w:beforeAutospacing="0" w:afterAutospacing="0" w:line="568" w:lineRule="exact"/>
        <w:rPr>
          <w:rFonts w:ascii="仿宋_GB2312" w:hAnsi="仿宋_GB2312" w:eastAsia="仿宋_GB2312" w:cs="仿宋_GB2312"/>
          <w:b/>
          <w:color w:val="auto"/>
          <w:sz w:val="32"/>
          <w:szCs w:val="32"/>
          <w:highlight w:val="none"/>
        </w:rPr>
      </w:pPr>
    </w:p>
    <w:p w14:paraId="1644FAB6">
      <w:pPr>
        <w:pageBreakBefore w:val="0"/>
        <w:shd w:val="clear"/>
        <w:bidi w:val="0"/>
        <w:adjustRightInd w:val="0"/>
        <w:snapToGrid w:val="0"/>
        <w:spacing w:beforeAutospacing="0" w:afterAutospacing="0" w:line="568" w:lineRule="exact"/>
        <w:ind w:firstLine="643" w:firstLineChars="200"/>
        <w:rPr>
          <w:rFonts w:hint="eastAsia" w:ascii="黑体" w:hAnsi="黑体" w:eastAsia="黑体" w:cs="黑体"/>
          <w:b/>
          <w:color w:val="auto"/>
          <w:sz w:val="32"/>
          <w:szCs w:val="32"/>
          <w:highlight w:val="none"/>
          <w:lang w:eastAsia="zh-CN"/>
        </w:rPr>
      </w:pPr>
      <w:r>
        <w:rPr>
          <w:rFonts w:hint="eastAsia" w:ascii="黑体" w:hAnsi="黑体" w:eastAsia="黑体" w:cs="黑体"/>
          <w:b/>
          <w:color w:val="auto"/>
          <w:sz w:val="32"/>
          <w:szCs w:val="32"/>
          <w:highlight w:val="none"/>
        </w:rPr>
        <w:t>项目名称：</w:t>
      </w:r>
      <w:r>
        <w:rPr>
          <w:rFonts w:hint="eastAsia" w:ascii="黑体" w:hAnsi="黑体" w:eastAsia="黑体" w:cs="黑体"/>
          <w:b/>
          <w:color w:val="auto"/>
          <w:w w:val="90"/>
          <w:sz w:val="32"/>
          <w:szCs w:val="32"/>
          <w:highlight w:val="none"/>
          <w:u w:val="single"/>
          <w:lang w:eastAsia="zh-CN"/>
        </w:rPr>
        <w:t>芙蓉生态新城</w:t>
      </w:r>
      <w:r>
        <w:rPr>
          <w:rFonts w:hint="eastAsia" w:ascii="黑体" w:hAnsi="黑体" w:eastAsia="黑体" w:cs="黑体"/>
          <w:b/>
          <w:color w:val="auto"/>
          <w:w w:val="90"/>
          <w:sz w:val="32"/>
          <w:szCs w:val="32"/>
          <w:highlight w:val="none"/>
          <w:u w:val="single"/>
          <w:lang w:val="en-US" w:eastAsia="zh-CN"/>
        </w:rPr>
        <w:t>六</w:t>
      </w:r>
      <w:r>
        <w:rPr>
          <w:rFonts w:hint="eastAsia" w:ascii="黑体" w:hAnsi="黑体" w:eastAsia="黑体" w:cs="黑体"/>
          <w:b/>
          <w:color w:val="auto"/>
          <w:w w:val="90"/>
          <w:sz w:val="32"/>
          <w:szCs w:val="32"/>
          <w:highlight w:val="none"/>
          <w:u w:val="single"/>
          <w:lang w:eastAsia="zh-CN"/>
        </w:rPr>
        <w:t>号安置小区（</w:t>
      </w:r>
      <w:r>
        <w:rPr>
          <w:rFonts w:hint="eastAsia" w:ascii="黑体" w:hAnsi="黑体" w:eastAsia="黑体" w:cs="黑体"/>
          <w:b/>
          <w:color w:val="auto"/>
          <w:w w:val="90"/>
          <w:sz w:val="32"/>
          <w:szCs w:val="32"/>
          <w:highlight w:val="none"/>
          <w:u w:val="single"/>
          <w:lang w:val="en-US" w:eastAsia="zh-CN"/>
        </w:rPr>
        <w:t>一期</w:t>
      </w:r>
      <w:r>
        <w:rPr>
          <w:rFonts w:hint="eastAsia" w:ascii="黑体" w:hAnsi="黑体" w:eastAsia="黑体" w:cs="黑体"/>
          <w:b/>
          <w:color w:val="auto"/>
          <w:w w:val="90"/>
          <w:sz w:val="32"/>
          <w:szCs w:val="32"/>
          <w:highlight w:val="none"/>
          <w:u w:val="single"/>
          <w:lang w:eastAsia="zh-CN"/>
        </w:rPr>
        <w:t>）</w:t>
      </w:r>
      <w:r>
        <w:rPr>
          <w:rFonts w:hint="eastAsia" w:ascii="黑体" w:hAnsi="黑体" w:eastAsia="黑体" w:cs="黑体"/>
          <w:b/>
          <w:color w:val="auto"/>
          <w:w w:val="90"/>
          <w:sz w:val="32"/>
          <w:szCs w:val="32"/>
          <w:highlight w:val="none"/>
          <w:u w:val="single"/>
          <w:lang w:val="en-US" w:eastAsia="zh-CN"/>
        </w:rPr>
        <w:t>外墙防水</w:t>
      </w:r>
      <w:r>
        <w:rPr>
          <w:rFonts w:hint="eastAsia" w:ascii="黑体" w:hAnsi="黑体" w:eastAsia="黑体" w:cs="黑体"/>
          <w:b/>
          <w:color w:val="auto"/>
          <w:w w:val="90"/>
          <w:sz w:val="32"/>
          <w:szCs w:val="32"/>
          <w:highlight w:val="none"/>
          <w:u w:val="single"/>
          <w:lang w:eastAsia="zh-CN"/>
        </w:rPr>
        <w:t>工程项目</w:t>
      </w:r>
    </w:p>
    <w:p w14:paraId="6DF93F20">
      <w:pPr>
        <w:pStyle w:val="55"/>
        <w:pageBreakBefore w:val="0"/>
        <w:shd w:val="clear"/>
        <w:bidi w:val="0"/>
        <w:adjustRightInd w:val="0"/>
        <w:snapToGrid w:val="0"/>
        <w:spacing w:beforeAutospacing="0" w:afterAutospacing="0" w:line="568" w:lineRule="exact"/>
        <w:ind w:firstLine="643" w:firstLineChars="200"/>
        <w:jc w:val="left"/>
        <w:rPr>
          <w:rFonts w:hint="eastAsia" w:ascii="黑体" w:hAnsi="黑体" w:eastAsia="黑体" w:cs="黑体"/>
          <w:b/>
          <w:color w:val="auto"/>
          <w:sz w:val="32"/>
          <w:szCs w:val="32"/>
          <w:highlight w:val="none"/>
          <w:u w:val="single"/>
          <w:lang w:eastAsia="zh-CN"/>
        </w:rPr>
      </w:pPr>
      <w:r>
        <w:rPr>
          <w:rFonts w:hint="eastAsia" w:ascii="黑体" w:hAnsi="黑体" w:eastAsia="黑体" w:cs="黑体"/>
          <w:b/>
          <w:color w:val="auto"/>
          <w:sz w:val="32"/>
          <w:szCs w:val="32"/>
          <w:highlight w:val="none"/>
        </w:rPr>
        <w:t>发 包 人：</w:t>
      </w:r>
      <w:r>
        <w:rPr>
          <w:rFonts w:hint="eastAsia" w:ascii="黑体" w:hAnsi="黑体" w:eastAsia="黑体" w:cs="黑体"/>
          <w:b/>
          <w:color w:val="auto"/>
          <w:sz w:val="32"/>
          <w:szCs w:val="32"/>
          <w:highlight w:val="none"/>
          <w:u w:val="single"/>
          <w:lang w:eastAsia="zh-CN"/>
        </w:rPr>
        <w:t>长沙芙蓉新城置业有限公司</w:t>
      </w:r>
    </w:p>
    <w:p w14:paraId="479EBB39">
      <w:pPr>
        <w:pStyle w:val="55"/>
        <w:pageBreakBefore w:val="0"/>
        <w:shd w:val="clear"/>
        <w:bidi w:val="0"/>
        <w:adjustRightInd w:val="0"/>
        <w:snapToGrid w:val="0"/>
        <w:spacing w:beforeAutospacing="0" w:afterAutospacing="0" w:line="568" w:lineRule="exact"/>
        <w:ind w:firstLine="643" w:firstLineChars="200"/>
        <w:jc w:val="left"/>
        <w:rPr>
          <w:rFonts w:hint="default" w:ascii="黑体" w:hAnsi="黑体" w:eastAsia="黑体" w:cs="黑体"/>
          <w:b/>
          <w:color w:val="auto"/>
          <w:sz w:val="32"/>
          <w:szCs w:val="32"/>
          <w:highlight w:val="none"/>
          <w:u w:val="single"/>
          <w:lang w:val="en-US" w:eastAsia="zh-CN"/>
        </w:rPr>
      </w:pPr>
      <w:r>
        <w:rPr>
          <w:rFonts w:hint="eastAsia" w:ascii="黑体" w:hAnsi="黑体" w:eastAsia="黑体" w:cs="黑体"/>
          <w:b/>
          <w:color w:val="auto"/>
          <w:sz w:val="32"/>
          <w:szCs w:val="32"/>
          <w:highlight w:val="none"/>
        </w:rPr>
        <w:t>承 包 人：</w:t>
      </w:r>
      <w:r>
        <w:rPr>
          <w:rFonts w:hint="eastAsia" w:ascii="黑体" w:hAnsi="黑体" w:eastAsia="黑体" w:cs="黑体"/>
          <w:b/>
          <w:color w:val="auto"/>
          <w:sz w:val="32"/>
          <w:szCs w:val="32"/>
          <w:highlight w:val="none"/>
          <w:u w:val="single"/>
          <w:lang w:val="en-US" w:eastAsia="zh-CN"/>
        </w:rPr>
        <w:t xml:space="preserve">               </w:t>
      </w:r>
    </w:p>
    <w:p w14:paraId="4ADDA863">
      <w:pPr>
        <w:pStyle w:val="56"/>
        <w:pageBreakBefore w:val="0"/>
        <w:shd w:val="clear"/>
        <w:bidi w:val="0"/>
        <w:adjustRightInd w:val="0"/>
        <w:snapToGrid w:val="0"/>
        <w:spacing w:before="0" w:beforeAutospacing="0" w:after="0" w:afterAutospacing="0" w:line="568" w:lineRule="exact"/>
        <w:ind w:firstLine="643" w:firstLineChars="200"/>
        <w:rPr>
          <w:rFonts w:hint="eastAsia" w:ascii="黑体" w:hAnsi="黑体" w:eastAsia="黑体" w:cs="黑体"/>
          <w:b/>
          <w:color w:val="auto"/>
          <w:sz w:val="32"/>
          <w:szCs w:val="32"/>
          <w:highlight w:val="none"/>
          <w:u w:val="single"/>
        </w:rPr>
      </w:pPr>
      <w:r>
        <w:rPr>
          <w:rFonts w:hint="eastAsia" w:ascii="黑体" w:hAnsi="黑体" w:eastAsia="黑体" w:cs="黑体"/>
          <w:b/>
          <w:color w:val="auto"/>
          <w:sz w:val="32"/>
          <w:szCs w:val="32"/>
          <w:highlight w:val="none"/>
        </w:rPr>
        <w:t>签订地点：</w:t>
      </w:r>
      <w:r>
        <w:rPr>
          <w:rFonts w:hint="eastAsia" w:ascii="黑体" w:hAnsi="黑体" w:eastAsia="黑体" w:cs="黑体"/>
          <w:b/>
          <w:color w:val="auto"/>
          <w:sz w:val="32"/>
          <w:szCs w:val="32"/>
          <w:highlight w:val="none"/>
          <w:u w:val="single"/>
        </w:rPr>
        <w:t>长沙市芙蓉区</w:t>
      </w:r>
    </w:p>
    <w:p w14:paraId="15C54F75">
      <w:pPr>
        <w:pStyle w:val="56"/>
        <w:pageBreakBefore w:val="0"/>
        <w:shd w:val="clear"/>
        <w:bidi w:val="0"/>
        <w:adjustRightInd w:val="0"/>
        <w:snapToGrid w:val="0"/>
        <w:spacing w:before="0" w:beforeAutospacing="0" w:after="0" w:afterAutospacing="0" w:line="568" w:lineRule="exact"/>
        <w:ind w:firstLine="643" w:firstLineChars="200"/>
        <w:rPr>
          <w:rFonts w:hint="eastAsia" w:ascii="黑体" w:hAnsi="黑体" w:eastAsia="黑体" w:cs="黑体"/>
          <w:bCs w:val="0"/>
          <w:smallCaps w:val="0"/>
          <w:color w:val="auto"/>
          <w:sz w:val="32"/>
          <w:szCs w:val="32"/>
          <w:highlight w:val="none"/>
          <w:u w:val="single"/>
        </w:rPr>
      </w:pPr>
      <w:r>
        <w:rPr>
          <w:rFonts w:hint="eastAsia" w:ascii="黑体" w:hAnsi="黑体" w:eastAsia="黑体" w:cs="黑体"/>
          <w:bCs w:val="0"/>
          <w:color w:val="auto"/>
          <w:sz w:val="32"/>
          <w:szCs w:val="32"/>
          <w:highlight w:val="none"/>
        </w:rPr>
        <w:t>签订日期：</w:t>
      </w:r>
      <w:r>
        <w:rPr>
          <w:rFonts w:hint="eastAsia" w:ascii="黑体" w:hAnsi="黑体" w:eastAsia="黑体" w:cs="黑体"/>
          <w:bCs w:val="0"/>
          <w:smallCaps w:val="0"/>
          <w:color w:val="auto"/>
          <w:sz w:val="32"/>
          <w:szCs w:val="32"/>
          <w:highlight w:val="none"/>
          <w:u w:val="single"/>
          <w:lang w:val="en-US" w:eastAsia="zh-CN"/>
        </w:rPr>
        <w:t>2026年   月   日</w:t>
      </w:r>
    </w:p>
    <w:p w14:paraId="1840CE36">
      <w:pPr>
        <w:pageBreakBefore w:val="0"/>
        <w:widowControl/>
        <w:shd w:val="clear"/>
        <w:bidi w:val="0"/>
        <w:adjustRightInd w:val="0"/>
        <w:snapToGrid w:val="0"/>
        <w:spacing w:beforeAutospacing="0" w:afterAutospacing="0" w:line="568" w:lineRule="exact"/>
        <w:ind w:firstLine="643" w:firstLineChars="200"/>
        <w:jc w:val="left"/>
        <w:rPr>
          <w:rFonts w:ascii="仿宋_GB2312" w:hAnsi="仿宋_GB2312" w:eastAsia="仿宋_GB2312" w:cs="仿宋_GB2312"/>
          <w:b/>
          <w:color w:val="auto"/>
          <w:sz w:val="32"/>
          <w:szCs w:val="32"/>
          <w:highlight w:val="none"/>
          <w:u w:val="single"/>
        </w:rPr>
        <w:sectPr>
          <w:headerReference r:id="rId6" w:type="default"/>
          <w:footerReference r:id="rId7" w:type="default"/>
          <w:type w:val="continuous"/>
          <w:pgSz w:w="11906" w:h="16838"/>
          <w:pgMar w:top="1440" w:right="1803" w:bottom="1440" w:left="1803" w:header="720" w:footer="720" w:gutter="0"/>
          <w:cols w:space="720" w:num="1"/>
          <w:docGrid w:type="lines" w:linePitch="312" w:charSpace="0"/>
        </w:sectPr>
      </w:pPr>
    </w:p>
    <w:p w14:paraId="73658889">
      <w:pPr>
        <w:pStyle w:val="8"/>
        <w:pageBreakBefore w:val="0"/>
        <w:shd w:val="clear"/>
        <w:bidi w:val="0"/>
        <w:adjustRightInd w:val="0"/>
        <w:snapToGrid w:val="0"/>
        <w:spacing w:beforeAutospacing="0" w:afterAutospacing="0" w:line="568" w:lineRule="exact"/>
        <w:jc w:val="center"/>
        <w:rPr>
          <w:rFonts w:ascii="仿宋" w:hAnsi="仿宋" w:eastAsia="仿宋" w:cs="仿宋"/>
          <w:b/>
          <w:color w:val="auto"/>
          <w:sz w:val="28"/>
          <w:szCs w:val="28"/>
          <w:highlight w:val="none"/>
        </w:rPr>
      </w:pPr>
      <w:bookmarkStart w:id="2" w:name="_Toc296503025"/>
      <w:bookmarkStart w:id="3" w:name="_Toc37168863"/>
      <w:bookmarkStart w:id="4" w:name="_Toc296890982"/>
      <w:r>
        <w:rPr>
          <w:rFonts w:hint="eastAsia" w:ascii="黑体" w:hAnsi="黑体" w:eastAsia="黑体" w:cs="方正小标宋简体"/>
          <w:b w:val="0"/>
          <w:bCs w:val="0"/>
          <w:color w:val="auto"/>
          <w:sz w:val="44"/>
          <w:szCs w:val="44"/>
          <w:highlight w:val="none"/>
        </w:rPr>
        <w:t>第一部分</w:t>
      </w:r>
      <w:r>
        <w:rPr>
          <w:rFonts w:ascii="黑体" w:hAnsi="黑体" w:eastAsia="黑体" w:cs="方正小标宋简体"/>
          <w:b w:val="0"/>
          <w:bCs w:val="0"/>
          <w:color w:val="auto"/>
          <w:sz w:val="44"/>
          <w:szCs w:val="44"/>
          <w:highlight w:val="none"/>
        </w:rPr>
        <w:t xml:space="preserve"> </w:t>
      </w:r>
      <w:r>
        <w:rPr>
          <w:rFonts w:hint="eastAsia" w:ascii="黑体" w:hAnsi="黑体" w:eastAsia="黑体" w:cs="方正小标宋简体"/>
          <w:b w:val="0"/>
          <w:bCs w:val="0"/>
          <w:color w:val="auto"/>
          <w:sz w:val="44"/>
          <w:szCs w:val="44"/>
          <w:highlight w:val="none"/>
        </w:rPr>
        <w:t>合同协议书</w:t>
      </w:r>
      <w:bookmarkEnd w:id="2"/>
      <w:bookmarkEnd w:id="3"/>
      <w:bookmarkEnd w:id="4"/>
    </w:p>
    <w:p w14:paraId="5793E121">
      <w:pPr>
        <w:pageBreakBefore w:val="0"/>
        <w:shd w:val="clear"/>
        <w:bidi w:val="0"/>
        <w:adjustRightInd w:val="0"/>
        <w:snapToGrid w:val="0"/>
        <w:spacing w:beforeAutospacing="0" w:afterAutospacing="0" w:line="568" w:lineRule="exact"/>
        <w:ind w:firstLine="422" w:firstLineChars="200"/>
        <w:rPr>
          <w:rFonts w:hint="eastAsia" w:ascii="仿宋" w:hAnsi="仿宋" w:eastAsia="仿宋" w:cs="仿宋"/>
          <w:b/>
          <w:color w:val="auto"/>
          <w:sz w:val="21"/>
          <w:szCs w:val="21"/>
          <w:highlight w:val="none"/>
          <w:u w:val="single"/>
          <w:lang w:eastAsia="zh-CN"/>
        </w:rPr>
      </w:pPr>
      <w:r>
        <w:rPr>
          <w:rFonts w:hint="eastAsia" w:ascii="仿宋" w:hAnsi="仿宋" w:eastAsia="仿宋" w:cs="仿宋"/>
          <w:b/>
          <w:color w:val="auto"/>
          <w:sz w:val="21"/>
          <w:szCs w:val="21"/>
          <w:highlight w:val="none"/>
        </w:rPr>
        <w:t>发包人：</w:t>
      </w:r>
      <w:r>
        <w:rPr>
          <w:rFonts w:hint="eastAsia" w:ascii="仿宋" w:hAnsi="仿宋" w:eastAsia="仿宋" w:cs="仿宋"/>
          <w:b/>
          <w:color w:val="auto"/>
          <w:sz w:val="21"/>
          <w:szCs w:val="21"/>
          <w:highlight w:val="none"/>
          <w:u w:val="single"/>
          <w:lang w:eastAsia="zh-CN"/>
        </w:rPr>
        <w:t>长沙芙蓉新城置业有限公司</w:t>
      </w:r>
    </w:p>
    <w:p w14:paraId="618242B7">
      <w:pPr>
        <w:pageBreakBefore w:val="0"/>
        <w:shd w:val="clear"/>
        <w:bidi w:val="0"/>
        <w:adjustRightInd w:val="0"/>
        <w:snapToGrid w:val="0"/>
        <w:spacing w:beforeAutospacing="0" w:afterAutospacing="0" w:line="568" w:lineRule="exact"/>
        <w:ind w:firstLine="422" w:firstLineChars="200"/>
        <w:rPr>
          <w:rFonts w:hint="default" w:ascii="仿宋" w:hAnsi="仿宋" w:eastAsia="仿宋" w:cs="仿宋"/>
          <w:color w:val="auto"/>
          <w:sz w:val="21"/>
          <w:szCs w:val="21"/>
          <w:highlight w:val="none"/>
          <w:lang w:val="en-US" w:eastAsia="zh-CN"/>
        </w:rPr>
      </w:pPr>
      <w:r>
        <w:rPr>
          <w:rFonts w:hint="eastAsia" w:ascii="仿宋" w:hAnsi="仿宋" w:eastAsia="仿宋" w:cs="仿宋"/>
          <w:b/>
          <w:color w:val="auto"/>
          <w:sz w:val="21"/>
          <w:szCs w:val="21"/>
          <w:highlight w:val="none"/>
        </w:rPr>
        <w:t>承包人：</w:t>
      </w:r>
      <w:r>
        <w:rPr>
          <w:rFonts w:hint="eastAsia" w:ascii="仿宋" w:hAnsi="仿宋" w:eastAsia="仿宋" w:cs="仿宋"/>
          <w:b/>
          <w:color w:val="auto"/>
          <w:sz w:val="21"/>
          <w:szCs w:val="21"/>
          <w:highlight w:val="none"/>
          <w:u w:val="single"/>
          <w:lang w:val="en-US" w:eastAsia="zh-CN"/>
        </w:rPr>
        <w:t xml:space="preserve">                        </w:t>
      </w:r>
    </w:p>
    <w:p w14:paraId="531653CB">
      <w:pPr>
        <w:pageBreakBefore w:val="0"/>
        <w:shd w:val="clear"/>
        <w:bidi w:val="0"/>
        <w:adjustRightInd w:val="0"/>
        <w:snapToGrid w:val="0"/>
        <w:spacing w:beforeAutospacing="0" w:afterAutospacing="0" w:line="568" w:lineRule="exact"/>
        <w:ind w:firstLine="420" w:firstLineChars="20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根据《中华人民共和国民法典》、《中华人民共和国建筑法》及有关法律规定，遵循平等、自愿、公平和诚实信用的原则，双方就工程施工及有关事项协商一致，共同达成如下协议：</w:t>
      </w:r>
    </w:p>
    <w:p w14:paraId="2D699E11">
      <w:pPr>
        <w:pStyle w:val="9"/>
        <w:pageBreakBefore w:val="0"/>
        <w:shd w:val="clear"/>
        <w:bidi w:val="0"/>
        <w:adjustRightInd w:val="0"/>
        <w:snapToGrid w:val="0"/>
        <w:spacing w:beforeAutospacing="0" w:afterAutospacing="0" w:line="568" w:lineRule="exact"/>
        <w:rPr>
          <w:rFonts w:ascii="黑体" w:hAnsi="黑体" w:eastAsia="黑体" w:cs="黑体"/>
          <w:bCs w:val="0"/>
          <w:color w:val="auto"/>
          <w:sz w:val="21"/>
          <w:szCs w:val="21"/>
          <w:highlight w:val="none"/>
        </w:rPr>
      </w:pPr>
      <w:bookmarkStart w:id="5" w:name="_Toc37168864"/>
      <w:r>
        <w:rPr>
          <w:rFonts w:hint="eastAsia" w:ascii="黑体" w:hAnsi="黑体" w:eastAsia="黑体" w:cs="黑体"/>
          <w:b w:val="0"/>
          <w:color w:val="auto"/>
          <w:sz w:val="21"/>
          <w:szCs w:val="21"/>
          <w:highlight w:val="none"/>
        </w:rPr>
        <w:t>一、工程概况</w:t>
      </w:r>
      <w:bookmarkEnd w:id="5"/>
    </w:p>
    <w:p w14:paraId="7D458C83">
      <w:pPr>
        <w:pageBreakBefore w:val="0"/>
        <w:shd w:val="clear"/>
        <w:bidi w:val="0"/>
        <w:adjustRightInd w:val="0"/>
        <w:snapToGrid w:val="0"/>
        <w:spacing w:beforeAutospacing="0" w:afterAutospacing="0" w:line="568" w:lineRule="exact"/>
        <w:ind w:firstLine="411" w:firstLineChars="196"/>
        <w:rPr>
          <w:rFonts w:ascii="仿宋" w:hAnsi="仿宋" w:eastAsia="仿宋" w:cs="仿宋"/>
          <w:color w:val="auto"/>
          <w:sz w:val="21"/>
          <w:szCs w:val="21"/>
          <w:highlight w:val="none"/>
          <w:u w:val="single"/>
        </w:rPr>
      </w:pPr>
      <w:r>
        <w:rPr>
          <w:rFonts w:ascii="仿宋" w:hAnsi="仿宋" w:eastAsia="仿宋" w:cs="仿宋"/>
          <w:bCs/>
          <w:color w:val="auto"/>
          <w:sz w:val="21"/>
          <w:szCs w:val="21"/>
          <w:highlight w:val="none"/>
        </w:rPr>
        <w:t>1.工程名称</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u w:val="single"/>
          <w:lang w:eastAsia="zh-CN"/>
        </w:rPr>
        <w:t>芙蓉生态新城六号安置小区（一期）外墙防水工程项目（以下统称“本项目”）</w:t>
      </w:r>
      <w:r>
        <w:rPr>
          <w:rFonts w:hint="eastAsia" w:ascii="仿宋" w:hAnsi="仿宋" w:eastAsia="仿宋" w:cs="仿宋"/>
          <w:color w:val="auto"/>
          <w:sz w:val="21"/>
          <w:szCs w:val="21"/>
          <w:highlight w:val="none"/>
        </w:rPr>
        <w:t>。</w:t>
      </w:r>
    </w:p>
    <w:p w14:paraId="563E599E">
      <w:pPr>
        <w:pageBreakBefore w:val="0"/>
        <w:shd w:val="clear"/>
        <w:bidi w:val="0"/>
        <w:adjustRightInd w:val="0"/>
        <w:snapToGrid w:val="0"/>
        <w:spacing w:beforeAutospacing="0" w:afterAutospacing="0" w:line="568" w:lineRule="exact"/>
        <w:ind w:firstLine="411" w:firstLineChars="196"/>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2.工程地点：</w:t>
      </w:r>
      <w:r>
        <w:rPr>
          <w:rFonts w:hint="eastAsia" w:ascii="仿宋" w:hAnsi="仿宋" w:eastAsia="仿宋" w:cs="仿宋"/>
          <w:color w:val="auto"/>
          <w:sz w:val="21"/>
          <w:szCs w:val="21"/>
          <w:highlight w:val="none"/>
          <w:u w:val="single"/>
        </w:rPr>
        <w:t>长沙市</w:t>
      </w:r>
      <w:r>
        <w:rPr>
          <w:rFonts w:hint="eastAsia" w:ascii="仿宋" w:hAnsi="仿宋" w:eastAsia="仿宋" w:cs="仿宋"/>
          <w:color w:val="auto"/>
          <w:sz w:val="21"/>
          <w:szCs w:val="21"/>
          <w:highlight w:val="none"/>
          <w:u w:val="single"/>
          <w:lang w:val="en-US" w:eastAsia="zh-CN"/>
        </w:rPr>
        <w:t>芙蓉</w:t>
      </w:r>
      <w:r>
        <w:rPr>
          <w:rFonts w:hint="eastAsia" w:ascii="仿宋" w:hAnsi="仿宋" w:eastAsia="仿宋" w:cs="仿宋"/>
          <w:color w:val="auto"/>
          <w:sz w:val="21"/>
          <w:szCs w:val="21"/>
          <w:highlight w:val="none"/>
          <w:u w:val="single"/>
        </w:rPr>
        <w:t>区</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rPr>
        <w:t>。</w:t>
      </w:r>
    </w:p>
    <w:p w14:paraId="41614EAB">
      <w:pPr>
        <w:pStyle w:val="2"/>
        <w:pageBreakBefore w:val="0"/>
        <w:shd w:val="clear"/>
        <w:bidi w:val="0"/>
        <w:adjustRightInd w:val="0"/>
        <w:snapToGrid w:val="0"/>
        <w:spacing w:beforeAutospacing="0" w:afterAutospacing="0" w:line="568" w:lineRule="exact"/>
        <w:ind w:left="0" w:leftChars="0" w:firstLine="420" w:firstLineChars="200"/>
        <w:rPr>
          <w:rFonts w:hint="default" w:ascii="仿宋" w:hAnsi="仿宋" w:eastAsia="仿宋" w:cs="仿宋"/>
          <w:color w:val="auto"/>
          <w:kern w:val="2"/>
          <w:sz w:val="21"/>
          <w:szCs w:val="21"/>
          <w:highlight w:val="none"/>
          <w:u w:val="single"/>
          <w:lang w:val="en-US" w:eastAsia="zh-CN" w:bidi="ar-SA"/>
        </w:rPr>
      </w:pPr>
      <w:r>
        <w:rPr>
          <w:rFonts w:ascii="仿宋" w:hAnsi="仿宋" w:eastAsia="仿宋" w:cs="仿宋"/>
          <w:bCs/>
          <w:color w:val="auto"/>
          <w:sz w:val="21"/>
          <w:szCs w:val="21"/>
          <w:highlight w:val="none"/>
        </w:rPr>
        <w:t>3.工程</w:t>
      </w:r>
      <w:r>
        <w:rPr>
          <w:rFonts w:hint="eastAsia" w:ascii="仿宋" w:hAnsi="仿宋" w:eastAsia="仿宋" w:cs="仿宋"/>
          <w:bCs/>
          <w:color w:val="auto"/>
          <w:sz w:val="21"/>
          <w:szCs w:val="21"/>
          <w:highlight w:val="none"/>
          <w:lang w:eastAsia="zh-CN"/>
        </w:rPr>
        <w:t>内容</w:t>
      </w:r>
      <w:r>
        <w:rPr>
          <w:rFonts w:ascii="仿宋" w:hAnsi="仿宋" w:eastAsia="仿宋" w:cs="仿宋"/>
          <w:bCs/>
          <w:color w:val="auto"/>
          <w:sz w:val="21"/>
          <w:szCs w:val="21"/>
          <w:highlight w:val="none"/>
        </w:rPr>
        <w:t>：</w:t>
      </w:r>
      <w:r>
        <w:rPr>
          <w:rFonts w:hint="eastAsia" w:ascii="仿宋" w:hAnsi="仿宋" w:eastAsia="仿宋" w:cs="仿宋"/>
          <w:b w:val="0"/>
          <w:bCs w:val="0"/>
          <w:color w:val="auto"/>
          <w:kern w:val="2"/>
          <w:sz w:val="21"/>
          <w:szCs w:val="21"/>
          <w:highlight w:val="none"/>
          <w:u w:val="single"/>
          <w:lang w:val="en-US" w:eastAsia="zh-CN" w:bidi="ar-SA"/>
        </w:rPr>
        <w:t>芙蓉生态新城六号安置小区（一期）外墙防水工程项目，主要建设内容以发布的施工图与工程量清单为准。</w:t>
      </w:r>
    </w:p>
    <w:p w14:paraId="2698850F">
      <w:pPr>
        <w:pStyle w:val="2"/>
        <w:pageBreakBefore w:val="0"/>
        <w:shd w:val="clear"/>
        <w:bidi w:val="0"/>
        <w:adjustRightInd w:val="0"/>
        <w:snapToGrid w:val="0"/>
        <w:spacing w:beforeAutospacing="0" w:afterAutospacing="0" w:line="568" w:lineRule="exact"/>
        <w:rPr>
          <w:rFonts w:hint="default" w:ascii="仿宋" w:hAnsi="仿宋" w:eastAsia="仿宋" w:cs="仿宋"/>
          <w:color w:val="auto"/>
          <w:kern w:val="2"/>
          <w:sz w:val="21"/>
          <w:szCs w:val="21"/>
          <w:highlight w:val="none"/>
          <w:u w:val="single"/>
          <w:lang w:val="en-US" w:eastAsia="zh-CN" w:bidi="ar-SA"/>
        </w:rPr>
      </w:pPr>
      <w:r>
        <w:rPr>
          <w:rFonts w:hint="eastAsia" w:ascii="仿宋" w:hAnsi="仿宋" w:eastAsia="仿宋" w:cs="仿宋"/>
          <w:bCs/>
          <w:color w:val="auto"/>
          <w:sz w:val="21"/>
          <w:szCs w:val="21"/>
          <w:highlight w:val="none"/>
          <w:u w:val="none"/>
          <w:lang w:val="en-US" w:eastAsia="zh-CN"/>
        </w:rPr>
        <w:t>4.采购编号：</w:t>
      </w:r>
      <w:r>
        <w:rPr>
          <w:rFonts w:hint="eastAsia" w:ascii="仿宋" w:hAnsi="仿宋" w:eastAsia="仿宋" w:cs="仿宋"/>
          <w:color w:val="auto"/>
          <w:kern w:val="2"/>
          <w:sz w:val="21"/>
          <w:szCs w:val="21"/>
          <w:highlight w:val="none"/>
          <w:u w:val="single"/>
          <w:lang w:val="en-US" w:eastAsia="zh-CN" w:bidi="ar-SA"/>
        </w:rPr>
        <w:t xml:space="preserve">        </w:t>
      </w:r>
    </w:p>
    <w:p w14:paraId="415DFAB3">
      <w:pPr>
        <w:pageBreakBefore w:val="0"/>
        <w:shd w:val="clear"/>
        <w:bidi w:val="0"/>
        <w:adjustRightInd w:val="0"/>
        <w:snapToGrid w:val="0"/>
        <w:spacing w:beforeAutospacing="0" w:afterAutospacing="0" w:line="568" w:lineRule="exact"/>
        <w:rPr>
          <w:rFonts w:ascii="黑体" w:hAnsi="黑体" w:eastAsia="黑体" w:cs="黑体"/>
          <w:b w:val="0"/>
          <w:color w:val="auto"/>
          <w:sz w:val="21"/>
          <w:szCs w:val="21"/>
          <w:highlight w:val="none"/>
        </w:rPr>
      </w:pPr>
      <w:bookmarkStart w:id="6" w:name="_Toc37168865"/>
      <w:r>
        <w:rPr>
          <w:rFonts w:hint="eastAsia" w:ascii="黑体" w:hAnsi="黑体" w:eastAsia="黑体" w:cs="黑体"/>
          <w:b w:val="0"/>
          <w:color w:val="auto"/>
          <w:sz w:val="21"/>
          <w:szCs w:val="21"/>
          <w:highlight w:val="none"/>
        </w:rPr>
        <w:t>二、合同工期</w:t>
      </w:r>
      <w:bookmarkEnd w:id="6"/>
    </w:p>
    <w:p w14:paraId="6182B394">
      <w:pPr>
        <w:pageBreakBefore w:val="0"/>
        <w:shd w:val="clear"/>
        <w:bidi w:val="0"/>
        <w:adjustRightInd w:val="0"/>
        <w:snapToGrid w:val="0"/>
        <w:spacing w:beforeAutospacing="0" w:afterAutospacing="0" w:line="568" w:lineRule="exact"/>
        <w:ind w:firstLine="459"/>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计划开工日期：</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single"/>
          <w:lang w:eastAsia="zh-CN"/>
        </w:rPr>
        <w:t>年</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single"/>
          <w:lang w:eastAsia="zh-CN"/>
        </w:rPr>
        <w:t>月</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single"/>
          <w:lang w:eastAsia="zh-CN"/>
        </w:rPr>
        <w:t>日</w:t>
      </w:r>
      <w:r>
        <w:rPr>
          <w:rFonts w:hint="eastAsia" w:ascii="仿宋" w:hAnsi="仿宋" w:eastAsia="仿宋" w:cs="仿宋"/>
          <w:color w:val="auto"/>
          <w:sz w:val="21"/>
          <w:szCs w:val="21"/>
          <w:highlight w:val="none"/>
        </w:rPr>
        <w:t>，具体以开工令时间为准。</w:t>
      </w:r>
    </w:p>
    <w:p w14:paraId="7A60AAD5">
      <w:pPr>
        <w:pageBreakBefore w:val="0"/>
        <w:shd w:val="clear"/>
        <w:bidi w:val="0"/>
        <w:adjustRightInd w:val="0"/>
        <w:snapToGrid w:val="0"/>
        <w:spacing w:beforeAutospacing="0" w:afterAutospacing="0" w:line="568" w:lineRule="exact"/>
        <w:ind w:firstLine="459"/>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计划竣工日期：</w:t>
      </w:r>
      <w:r>
        <w:rPr>
          <w:rFonts w:hint="eastAsia" w:ascii="仿宋" w:hAnsi="仿宋" w:eastAsia="仿宋" w:cs="仿宋"/>
          <w:color w:val="auto"/>
          <w:sz w:val="21"/>
          <w:szCs w:val="21"/>
          <w:highlight w:val="none"/>
          <w:u w:val="single"/>
          <w:lang w:val="en-US" w:eastAsia="zh-CN"/>
        </w:rPr>
        <w:t xml:space="preserve">     年  月    日</w:t>
      </w:r>
      <w:r>
        <w:rPr>
          <w:rFonts w:hint="eastAsia" w:ascii="仿宋" w:hAnsi="仿宋" w:eastAsia="仿宋" w:cs="仿宋"/>
          <w:color w:val="auto"/>
          <w:sz w:val="21"/>
          <w:szCs w:val="21"/>
          <w:highlight w:val="none"/>
        </w:rPr>
        <w:t>。</w:t>
      </w:r>
    </w:p>
    <w:p w14:paraId="7C923E0F">
      <w:pPr>
        <w:pageBreakBefore w:val="0"/>
        <w:shd w:val="clear"/>
        <w:bidi w:val="0"/>
        <w:adjustRightInd w:val="0"/>
        <w:snapToGrid w:val="0"/>
        <w:spacing w:beforeAutospacing="0" w:afterAutospacing="0" w:line="568" w:lineRule="exact"/>
        <w:ind w:firstLine="459"/>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工期总日历天数：</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rPr>
        <w:t>天</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rPr>
        <w:t>工期总日历天数与根据前述计划开竣工日期计算的工期天数不一致的，以工期总日历天数为准。</w:t>
      </w:r>
    </w:p>
    <w:p w14:paraId="68F15640">
      <w:pPr>
        <w:pStyle w:val="9"/>
        <w:pageBreakBefore w:val="0"/>
        <w:shd w:val="clear"/>
        <w:bidi w:val="0"/>
        <w:adjustRightInd w:val="0"/>
        <w:snapToGrid w:val="0"/>
        <w:spacing w:beforeAutospacing="0" w:afterAutospacing="0" w:line="568" w:lineRule="exact"/>
        <w:rPr>
          <w:rFonts w:ascii="黑体" w:hAnsi="黑体" w:eastAsia="黑体" w:cs="黑体"/>
          <w:b w:val="0"/>
          <w:color w:val="auto"/>
          <w:sz w:val="21"/>
          <w:szCs w:val="21"/>
          <w:highlight w:val="none"/>
        </w:rPr>
      </w:pPr>
      <w:bookmarkStart w:id="7" w:name="_Toc37168866"/>
      <w:r>
        <w:rPr>
          <w:rFonts w:hint="eastAsia" w:ascii="黑体" w:hAnsi="黑体" w:eastAsia="黑体" w:cs="黑体"/>
          <w:b w:val="0"/>
          <w:color w:val="auto"/>
          <w:sz w:val="21"/>
          <w:szCs w:val="21"/>
          <w:highlight w:val="none"/>
        </w:rPr>
        <w:t>三、质量标准</w:t>
      </w:r>
      <w:bookmarkEnd w:id="7"/>
    </w:p>
    <w:p w14:paraId="58A14AE8">
      <w:pPr>
        <w:pStyle w:val="7"/>
        <w:pageBreakBefore w:val="0"/>
        <w:widowControl/>
        <w:shd w:val="clear"/>
        <w:bidi w:val="0"/>
        <w:adjustRightInd w:val="0"/>
        <w:snapToGrid w:val="0"/>
        <w:spacing w:beforeAutospacing="0" w:afterAutospacing="0" w:line="568" w:lineRule="exact"/>
        <w:ind w:firstLine="449" w:firstLineChars="213"/>
        <w:rPr>
          <w:rFonts w:hint="default" w:ascii="仿宋" w:hAnsi="仿宋" w:eastAsia="仿宋" w:cs="仿宋"/>
          <w:color w:val="auto"/>
          <w:sz w:val="21"/>
          <w:szCs w:val="21"/>
          <w:highlight w:val="none"/>
        </w:rPr>
      </w:pPr>
      <w:r>
        <w:rPr>
          <w:rFonts w:hint="default" w:ascii="仿宋" w:hAnsi="仿宋" w:eastAsia="仿宋" w:cs="仿宋"/>
          <w:color w:val="auto"/>
          <w:sz w:val="21"/>
          <w:szCs w:val="21"/>
          <w:highlight w:val="none"/>
        </w:rPr>
        <w:t>工程质量达到现行国家有关工程施工验收规范和标准的合格要求标准。</w:t>
      </w:r>
    </w:p>
    <w:p w14:paraId="66499BD8">
      <w:pPr>
        <w:pStyle w:val="9"/>
        <w:pageBreakBefore w:val="0"/>
        <w:shd w:val="clear"/>
        <w:bidi w:val="0"/>
        <w:adjustRightInd w:val="0"/>
        <w:snapToGrid w:val="0"/>
        <w:spacing w:beforeAutospacing="0" w:afterAutospacing="0" w:line="568" w:lineRule="exact"/>
        <w:rPr>
          <w:rFonts w:ascii="仿宋" w:hAnsi="仿宋" w:eastAsia="仿宋" w:cs="仿宋"/>
          <w:bCs w:val="0"/>
          <w:color w:val="auto"/>
          <w:sz w:val="21"/>
          <w:szCs w:val="21"/>
          <w:highlight w:val="none"/>
        </w:rPr>
      </w:pPr>
      <w:bookmarkStart w:id="8" w:name="_Toc37168867"/>
      <w:r>
        <w:rPr>
          <w:rFonts w:hint="eastAsia" w:ascii="黑体" w:hAnsi="黑体" w:eastAsia="黑体" w:cs="黑体"/>
          <w:b w:val="0"/>
          <w:color w:val="auto"/>
          <w:sz w:val="21"/>
          <w:szCs w:val="21"/>
          <w:highlight w:val="none"/>
        </w:rPr>
        <w:t>四、签约合同价与合同价格形式</w:t>
      </w:r>
      <w:bookmarkEnd w:id="8"/>
      <w:r>
        <w:rPr>
          <w:rFonts w:ascii="仿宋" w:hAnsi="仿宋" w:eastAsia="仿宋" w:cs="仿宋"/>
          <w:b w:val="0"/>
          <w:color w:val="auto"/>
          <w:sz w:val="21"/>
          <w:szCs w:val="21"/>
          <w:highlight w:val="none"/>
        </w:rPr>
        <w:tab/>
      </w:r>
    </w:p>
    <w:p w14:paraId="5AB39313">
      <w:pPr>
        <w:keepNext w:val="0"/>
        <w:keepLines w:val="0"/>
        <w:widowControl/>
        <w:suppressLineNumbers w:val="0"/>
        <w:ind w:firstLine="420" w:firstLineChars="200"/>
        <w:jc w:val="left"/>
        <w:rPr>
          <w:rFonts w:hint="default" w:ascii="仿宋" w:hAnsi="仿宋" w:eastAsia="仿宋" w:cs="仿宋"/>
          <w:color w:val="auto"/>
          <w:sz w:val="21"/>
          <w:szCs w:val="21"/>
          <w:highlight w:val="none"/>
          <w:lang w:val="en-US" w:eastAsia="zh-CN" w:bidi="ar-SA"/>
        </w:rPr>
      </w:pPr>
      <w:r>
        <w:rPr>
          <w:rFonts w:ascii="仿宋" w:hAnsi="仿宋" w:eastAsia="仿宋" w:cs="仿宋"/>
          <w:color w:val="auto"/>
          <w:sz w:val="21"/>
          <w:szCs w:val="21"/>
          <w:highlight w:val="none"/>
        </w:rPr>
        <w:t>1.签约合同价</w:t>
      </w:r>
      <w:r>
        <w:rPr>
          <w:rFonts w:hint="eastAsia" w:ascii="仿宋" w:hAnsi="仿宋" w:eastAsia="仿宋" w:cs="仿宋"/>
          <w:color w:val="auto"/>
          <w:sz w:val="21"/>
          <w:szCs w:val="21"/>
          <w:highlight w:val="none"/>
          <w:lang w:eastAsia="zh-CN"/>
        </w:rPr>
        <w:t>（含税）</w:t>
      </w:r>
      <w:r>
        <w:rPr>
          <w:rFonts w:hint="eastAsia" w:ascii="仿宋" w:hAnsi="仿宋" w:eastAsia="仿宋" w:cs="仿宋"/>
          <w:color w:val="auto"/>
          <w:sz w:val="21"/>
          <w:szCs w:val="21"/>
          <w:highlight w:val="none"/>
        </w:rPr>
        <w:t>：暂定为人民币（大写）</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rPr>
        <w:t>（小写：</w:t>
      </w:r>
      <w:r>
        <w:rPr>
          <w:rFonts w:hint="eastAsia" w:ascii="仿宋" w:hAnsi="仿宋" w:eastAsia="仿宋" w:cs="仿宋"/>
          <w:b w:val="0"/>
          <w:bCs w:val="0"/>
          <w:color w:val="auto"/>
          <w:sz w:val="21"/>
          <w:szCs w:val="21"/>
          <w:highlight w:val="none"/>
          <w:u w:val="single"/>
          <w:lang w:val="en-US" w:eastAsia="zh-CN"/>
        </w:rPr>
        <w:t xml:space="preserve">    </w:t>
      </w:r>
      <w:r>
        <w:rPr>
          <w:rFonts w:hint="eastAsia" w:ascii="仿宋" w:hAnsi="仿宋" w:eastAsia="仿宋" w:cs="仿宋"/>
          <w:color w:val="auto"/>
          <w:sz w:val="21"/>
          <w:szCs w:val="21"/>
          <w:highlight w:val="none"/>
        </w:rPr>
        <w:t>元）</w:t>
      </w:r>
      <w:r>
        <w:rPr>
          <w:rFonts w:hint="eastAsia" w:ascii="仿宋" w:hAnsi="仿宋" w:eastAsia="仿宋" w:cs="仿宋"/>
          <w:color w:val="auto"/>
          <w:sz w:val="21"/>
          <w:szCs w:val="21"/>
          <w:highlight w:val="none"/>
          <w:u w:val="none"/>
          <w:lang w:eastAsia="zh-CN"/>
        </w:rPr>
        <w:t>。</w:t>
      </w:r>
    </w:p>
    <w:p w14:paraId="6FEB6242">
      <w:pPr>
        <w:pageBreakBefore w:val="0"/>
        <w:numPr>
          <w:ilvl w:val="255"/>
          <w:numId w:val="0"/>
        </w:numPr>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2.合同价格形式：</w:t>
      </w:r>
    </w:p>
    <w:p w14:paraId="17F4B887">
      <w:pPr>
        <w:pageBreakBefore w:val="0"/>
        <w:numPr>
          <w:ilvl w:val="255"/>
          <w:numId w:val="0"/>
        </w:numPr>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（1）招标工程为承包人的投标报价书；</w:t>
      </w:r>
    </w:p>
    <w:p w14:paraId="474790D0">
      <w:pPr>
        <w:pageBreakBefore w:val="0"/>
        <w:numPr>
          <w:ilvl w:val="255"/>
          <w:numId w:val="0"/>
        </w:numPr>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（2）非招标工程为经确认的工程量清单报价表或施工图预算书；</w:t>
      </w:r>
    </w:p>
    <w:p w14:paraId="73DEB437">
      <w:pPr>
        <w:pageBreakBefore w:val="0"/>
        <w:numPr>
          <w:ilvl w:val="255"/>
          <w:numId w:val="0"/>
        </w:numPr>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（3）</w:t>
      </w:r>
      <w:r>
        <w:rPr>
          <w:rFonts w:hint="eastAsia" w:ascii="仿宋" w:hAnsi="仿宋" w:eastAsia="仿宋" w:cs="仿宋"/>
          <w:color w:val="auto"/>
          <w:sz w:val="21"/>
          <w:szCs w:val="21"/>
          <w:highlight w:val="none"/>
          <w:lang w:eastAsia="zh-CN"/>
        </w:rPr>
        <w:t>其他。</w:t>
      </w:r>
    </w:p>
    <w:p w14:paraId="0463318E">
      <w:pPr>
        <w:pageBreakBefore w:val="0"/>
        <w:numPr>
          <w:ilvl w:val="255"/>
          <w:numId w:val="0"/>
        </w:numPr>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3.工程款支付：</w:t>
      </w:r>
    </w:p>
    <w:p w14:paraId="3B03C9E1">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u w:val="single"/>
          <w:lang w:eastAsia="zh-CN"/>
        </w:rPr>
      </w:pPr>
      <w:r>
        <w:rPr>
          <w:rFonts w:hint="default" w:ascii="仿宋" w:hAnsi="仿宋" w:eastAsia="仿宋" w:cs="仿宋"/>
          <w:color w:val="auto"/>
          <w:sz w:val="21"/>
          <w:szCs w:val="21"/>
          <w:highlight w:val="none"/>
          <w:u w:val="single"/>
          <w:lang w:eastAsia="zh-CN"/>
        </w:rPr>
        <w:t>合同签订后，支付</w:t>
      </w:r>
      <w:r>
        <w:rPr>
          <w:rFonts w:hint="eastAsia" w:ascii="仿宋" w:hAnsi="仿宋" w:eastAsia="仿宋" w:cs="仿宋"/>
          <w:color w:val="auto"/>
          <w:sz w:val="21"/>
          <w:szCs w:val="21"/>
          <w:highlight w:val="none"/>
          <w:u w:val="single"/>
          <w:lang w:val="en-US" w:eastAsia="zh-CN"/>
        </w:rPr>
        <w:t>合同金额30%的预付款，工程进度款支付金额不超过已完工程造价的80%，工程竣工验收合格后，支付至合同金额的80%；</w:t>
      </w:r>
      <w:r>
        <w:rPr>
          <w:rFonts w:hint="eastAsia" w:ascii="仿宋" w:hAnsi="仿宋" w:eastAsia="仿宋" w:cs="仿宋"/>
          <w:color w:val="auto"/>
          <w:sz w:val="21"/>
          <w:szCs w:val="21"/>
          <w:highlight w:val="none"/>
          <w:u w:val="single"/>
          <w:lang w:eastAsia="zh-CN"/>
        </w:rPr>
        <w:t>剩余工程款待办理完成结算审</w:t>
      </w:r>
      <w:r>
        <w:rPr>
          <w:rFonts w:hint="eastAsia" w:ascii="仿宋" w:hAnsi="仿宋" w:eastAsia="仿宋" w:cs="仿宋"/>
          <w:color w:val="auto"/>
          <w:sz w:val="21"/>
          <w:szCs w:val="21"/>
          <w:highlight w:val="none"/>
          <w:u w:val="single"/>
          <w:lang w:val="en-US" w:eastAsia="zh-CN"/>
        </w:rPr>
        <w:t>核</w:t>
      </w:r>
      <w:r>
        <w:rPr>
          <w:rFonts w:hint="eastAsia" w:ascii="仿宋" w:hAnsi="仿宋" w:eastAsia="仿宋" w:cs="仿宋"/>
          <w:color w:val="auto"/>
          <w:sz w:val="21"/>
          <w:szCs w:val="21"/>
          <w:highlight w:val="none"/>
          <w:u w:val="single"/>
          <w:lang w:eastAsia="zh-CN"/>
        </w:rPr>
        <w:t>手续后扣除乙方应承担的费用后付清。如未满质保期，则留3%为质量保修金，在保修期满后扣除乙方在保修期间应承担的费用后付清（不计利息）。本工程最终工程造价以</w:t>
      </w:r>
      <w:r>
        <w:rPr>
          <w:rFonts w:hint="eastAsia" w:ascii="仿宋" w:hAnsi="仿宋" w:eastAsia="仿宋" w:cs="仿宋"/>
          <w:color w:val="auto"/>
          <w:sz w:val="21"/>
          <w:szCs w:val="21"/>
          <w:highlight w:val="none"/>
          <w:u w:val="single"/>
          <w:lang w:val="en-US" w:eastAsia="zh-CN"/>
        </w:rPr>
        <w:t>芙蓉区相关部门或第三方造价咨询机构</w:t>
      </w:r>
      <w:r>
        <w:rPr>
          <w:rFonts w:hint="eastAsia" w:ascii="仿宋" w:hAnsi="仿宋" w:eastAsia="仿宋" w:cs="仿宋"/>
          <w:color w:val="auto"/>
          <w:sz w:val="21"/>
          <w:szCs w:val="21"/>
          <w:highlight w:val="none"/>
          <w:u w:val="single"/>
          <w:lang w:eastAsia="zh-CN"/>
        </w:rPr>
        <w:t>审定的金额为准。</w:t>
      </w:r>
    </w:p>
    <w:p w14:paraId="146FDC7B">
      <w:pPr>
        <w:pageBreakBefore w:val="0"/>
        <w:numPr>
          <w:ilvl w:val="0"/>
          <w:numId w:val="0"/>
        </w:numPr>
        <w:shd w:val="clear"/>
        <w:bidi w:val="0"/>
        <w:adjustRightInd w:val="0"/>
        <w:snapToGrid w:val="0"/>
        <w:spacing w:beforeAutospacing="0" w:afterAutospacing="0" w:line="568" w:lineRule="exact"/>
        <w:ind w:firstLine="420" w:firstLineChars="200"/>
        <w:rPr>
          <w:rFonts w:hint="eastAsia"/>
          <w:color w:val="auto"/>
          <w:sz w:val="21"/>
          <w:szCs w:val="21"/>
          <w:highlight w:val="none"/>
          <w:lang w:eastAsia="zh-CN"/>
        </w:rPr>
      </w:pP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绿色施工安全防护措施项目费支付：合同工期在一年以内的工程，绿色施工安全防护措施项目费在办理工程项目安全受监手续时发包人一次性支付完毕</w:t>
      </w:r>
      <w:r>
        <w:rPr>
          <w:rFonts w:hint="eastAsia" w:ascii="仿宋" w:hAnsi="仿宋" w:eastAsia="仿宋" w:cs="仿宋"/>
          <w:color w:val="auto"/>
          <w:sz w:val="21"/>
          <w:szCs w:val="21"/>
          <w:highlight w:val="none"/>
          <w:lang w:eastAsia="zh-CN"/>
        </w:rPr>
        <w:t>。</w:t>
      </w:r>
    </w:p>
    <w:p w14:paraId="465FE358">
      <w:pPr>
        <w:pageBreakBefore w:val="0"/>
        <w:numPr>
          <w:ilvl w:val="0"/>
          <w:numId w:val="0"/>
        </w:numPr>
        <w:shd w:val="clear"/>
        <w:bidi w:val="0"/>
        <w:adjustRightInd w:val="0"/>
        <w:snapToGrid w:val="0"/>
        <w:spacing w:beforeAutospacing="0" w:afterAutospacing="0" w:line="568" w:lineRule="exact"/>
        <w:ind w:firstLine="420" w:firstLineChars="200"/>
        <w:rPr>
          <w:rFonts w:hint="eastAsia"/>
          <w:color w:val="auto"/>
          <w:sz w:val="21"/>
          <w:szCs w:val="21"/>
          <w:highlight w:val="none"/>
          <w:lang w:eastAsia="zh-CN"/>
        </w:rPr>
      </w:pPr>
      <w:r>
        <w:rPr>
          <w:rFonts w:hint="eastAsia" w:ascii="仿宋" w:hAnsi="仿宋" w:eastAsia="仿宋" w:cs="仿宋"/>
          <w:color w:val="auto"/>
          <w:sz w:val="21"/>
          <w:szCs w:val="21"/>
          <w:highlight w:val="none"/>
          <w:lang w:val="en-US" w:eastAsia="zh-CN"/>
        </w:rPr>
        <w:t>5.甲方每次付款前</w:t>
      </w:r>
      <w:r>
        <w:rPr>
          <w:rFonts w:hint="eastAsia" w:ascii="仿宋" w:hAnsi="仿宋" w:eastAsia="仿宋" w:cs="仿宋"/>
          <w:color w:val="auto"/>
          <w:sz w:val="21"/>
          <w:szCs w:val="21"/>
          <w:highlight w:val="none"/>
        </w:rPr>
        <w:t>，乙方需提供合法有效</w:t>
      </w:r>
      <w:r>
        <w:rPr>
          <w:rFonts w:hint="eastAsia" w:ascii="仿宋" w:hAnsi="仿宋" w:eastAsia="仿宋" w:cs="仿宋"/>
          <w:color w:val="auto"/>
          <w:sz w:val="21"/>
          <w:szCs w:val="21"/>
          <w:highlight w:val="none"/>
          <w:lang w:eastAsia="zh-CN"/>
        </w:rPr>
        <w:t>等额</w:t>
      </w:r>
      <w:r>
        <w:rPr>
          <w:rFonts w:hint="eastAsia" w:ascii="仿宋" w:hAnsi="仿宋" w:eastAsia="仿宋" w:cs="仿宋"/>
          <w:color w:val="auto"/>
          <w:sz w:val="21"/>
          <w:szCs w:val="21"/>
          <w:highlight w:val="none"/>
        </w:rPr>
        <w:t>的</w:t>
      </w:r>
      <w:r>
        <w:rPr>
          <w:rFonts w:hint="eastAsia" w:ascii="仿宋" w:hAnsi="仿宋" w:eastAsia="仿宋" w:cs="仿宋"/>
          <w:color w:val="auto"/>
          <w:sz w:val="21"/>
          <w:szCs w:val="21"/>
          <w:highlight w:val="none"/>
          <w:lang w:eastAsia="zh-CN"/>
        </w:rPr>
        <w:t>增值税专用</w:t>
      </w:r>
      <w:r>
        <w:rPr>
          <w:rFonts w:hint="eastAsia" w:ascii="仿宋" w:hAnsi="仿宋" w:eastAsia="仿宋" w:cs="仿宋"/>
          <w:color w:val="auto"/>
          <w:sz w:val="21"/>
          <w:szCs w:val="21"/>
          <w:highlight w:val="none"/>
        </w:rPr>
        <w:t>发票，</w:t>
      </w:r>
      <w:r>
        <w:rPr>
          <w:rFonts w:hint="eastAsia" w:ascii="仿宋" w:hAnsi="仿宋" w:eastAsia="仿宋"/>
          <w:color w:val="auto"/>
          <w:sz w:val="21"/>
          <w:szCs w:val="21"/>
          <w:highlight w:val="none"/>
        </w:rPr>
        <w:t>并按照甲方的财务管理制度办理款项申请手续，经甲方付款程序全部审核完毕后支付，否则甲方付款相应顺延，且不负延期付款责任。</w:t>
      </w:r>
    </w:p>
    <w:p w14:paraId="061BE76E">
      <w:pPr>
        <w:pStyle w:val="9"/>
        <w:pageBreakBefore w:val="0"/>
        <w:shd w:val="clear"/>
        <w:bidi w:val="0"/>
        <w:adjustRightInd w:val="0"/>
        <w:snapToGrid w:val="0"/>
        <w:spacing w:beforeAutospacing="0" w:afterAutospacing="0" w:line="568" w:lineRule="exact"/>
        <w:rPr>
          <w:rFonts w:ascii="黑体" w:hAnsi="黑体" w:eastAsia="黑体" w:cs="黑体"/>
          <w:b w:val="0"/>
          <w:color w:val="auto"/>
          <w:sz w:val="21"/>
          <w:szCs w:val="21"/>
          <w:highlight w:val="none"/>
        </w:rPr>
      </w:pPr>
      <w:bookmarkStart w:id="9" w:name="_Toc37168868"/>
      <w:r>
        <w:rPr>
          <w:rFonts w:hint="eastAsia" w:ascii="黑体" w:hAnsi="黑体" w:eastAsia="黑体" w:cs="黑体"/>
          <w:b w:val="0"/>
          <w:color w:val="auto"/>
          <w:sz w:val="21"/>
          <w:szCs w:val="21"/>
          <w:highlight w:val="none"/>
        </w:rPr>
        <w:t>五、项目经理</w:t>
      </w:r>
      <w:bookmarkEnd w:id="9"/>
    </w:p>
    <w:p w14:paraId="25A707A8">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承包人项目经理：</w:t>
      </w:r>
      <w:r>
        <w:rPr>
          <w:rFonts w:hint="eastAsia" w:ascii="仿宋" w:hAnsi="仿宋" w:eastAsia="仿宋" w:cs="仿宋"/>
          <w:bCs/>
          <w:color w:val="auto"/>
          <w:sz w:val="21"/>
          <w:szCs w:val="21"/>
          <w:highlight w:val="none"/>
          <w:u w:val="single"/>
          <w:lang w:val="en-US" w:eastAsia="zh-CN"/>
        </w:rPr>
        <w:t xml:space="preserve">     </w:t>
      </w:r>
      <w:r>
        <w:rPr>
          <w:rFonts w:hint="eastAsia" w:ascii="仿宋" w:hAnsi="仿宋" w:eastAsia="仿宋" w:cs="仿宋"/>
          <w:bCs/>
          <w:color w:val="auto"/>
          <w:sz w:val="21"/>
          <w:szCs w:val="21"/>
          <w:highlight w:val="none"/>
        </w:rPr>
        <w:t>，执业证书号：</w:t>
      </w:r>
      <w:r>
        <w:rPr>
          <w:rFonts w:hint="eastAsia" w:ascii="仿宋" w:hAnsi="仿宋" w:eastAsia="仿宋" w:cs="仿宋"/>
          <w:bCs/>
          <w:color w:val="auto"/>
          <w:sz w:val="21"/>
          <w:szCs w:val="21"/>
          <w:highlight w:val="none"/>
          <w:u w:val="single"/>
          <w:lang w:val="en-US" w:eastAsia="zh-CN"/>
        </w:rPr>
        <w:t xml:space="preserve">        </w:t>
      </w:r>
      <w:r>
        <w:rPr>
          <w:rFonts w:hint="eastAsia" w:ascii="仿宋" w:hAnsi="仿宋" w:eastAsia="仿宋" w:cs="仿宋"/>
          <w:bCs/>
          <w:color w:val="auto"/>
          <w:sz w:val="21"/>
          <w:szCs w:val="21"/>
          <w:highlight w:val="none"/>
        </w:rPr>
        <w:t>；身份证号：</w:t>
      </w:r>
      <w:r>
        <w:rPr>
          <w:rFonts w:hint="eastAsia" w:ascii="仿宋" w:hAnsi="仿宋" w:eastAsia="仿宋" w:cs="仿宋"/>
          <w:bCs/>
          <w:color w:val="auto"/>
          <w:sz w:val="21"/>
          <w:szCs w:val="21"/>
          <w:highlight w:val="none"/>
          <w:u w:val="single"/>
          <w:lang w:val="en-US" w:eastAsia="zh-CN"/>
        </w:rPr>
        <w:t xml:space="preserve">    </w:t>
      </w:r>
      <w:r>
        <w:rPr>
          <w:rFonts w:hint="eastAsia" w:ascii="仿宋" w:hAnsi="仿宋" w:eastAsia="仿宋" w:cs="仿宋"/>
          <w:bCs/>
          <w:color w:val="auto"/>
          <w:sz w:val="21"/>
          <w:szCs w:val="21"/>
          <w:highlight w:val="none"/>
        </w:rPr>
        <w:t>。</w:t>
      </w:r>
    </w:p>
    <w:p w14:paraId="7E729FE2">
      <w:pPr>
        <w:pStyle w:val="9"/>
        <w:pageBreakBefore w:val="0"/>
        <w:shd w:val="clear"/>
        <w:bidi w:val="0"/>
        <w:adjustRightInd w:val="0"/>
        <w:snapToGrid w:val="0"/>
        <w:spacing w:beforeAutospacing="0" w:afterAutospacing="0" w:line="568" w:lineRule="exact"/>
        <w:rPr>
          <w:rFonts w:ascii="仿宋" w:hAnsi="仿宋" w:eastAsia="仿宋" w:cs="仿宋"/>
          <w:bCs w:val="0"/>
          <w:color w:val="auto"/>
          <w:sz w:val="21"/>
          <w:szCs w:val="21"/>
          <w:highlight w:val="none"/>
        </w:rPr>
      </w:pPr>
      <w:bookmarkStart w:id="10" w:name="_Toc37168869"/>
      <w:r>
        <w:rPr>
          <w:rFonts w:hint="eastAsia" w:ascii="黑体" w:hAnsi="黑体" w:eastAsia="黑体" w:cs="黑体"/>
          <w:b w:val="0"/>
          <w:color w:val="auto"/>
          <w:sz w:val="21"/>
          <w:szCs w:val="21"/>
          <w:highlight w:val="none"/>
        </w:rPr>
        <w:t>六、合同文件构成</w:t>
      </w:r>
      <w:bookmarkEnd w:id="10"/>
    </w:p>
    <w:p w14:paraId="1A7C6E2A">
      <w:pPr>
        <w:pageBreakBefore w:val="0"/>
        <w:shd w:val="clear"/>
        <w:bidi w:val="0"/>
        <w:adjustRightInd w:val="0"/>
        <w:snapToGrid w:val="0"/>
        <w:spacing w:beforeAutospacing="0" w:afterAutospacing="0" w:line="568" w:lineRule="exact"/>
        <w:ind w:firstLine="420" w:firstLineChars="200"/>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本协议书与下列文件一起构成合同文件：</w:t>
      </w:r>
    </w:p>
    <w:p w14:paraId="1DAC674C">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（1）中标通知书（如果有）；</w:t>
      </w:r>
    </w:p>
    <w:p w14:paraId="6704B312">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（2）投标函及其附录（如果有）； </w:t>
      </w:r>
    </w:p>
    <w:p w14:paraId="69C20D62">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（3）专用合同条款及其附件；</w:t>
      </w:r>
    </w:p>
    <w:p w14:paraId="0E6580A7">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（4）通用合同条款；</w:t>
      </w:r>
    </w:p>
    <w:p w14:paraId="2EFB222E">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（5）技术标准和要求；</w:t>
      </w:r>
    </w:p>
    <w:p w14:paraId="4472BAF9">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（6）图纸；</w:t>
      </w:r>
    </w:p>
    <w:p w14:paraId="7D2E79FD">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（7）已标价工程量清单或预算书；</w:t>
      </w:r>
    </w:p>
    <w:p w14:paraId="310C6500">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（8）其他合同文件。</w:t>
      </w:r>
    </w:p>
    <w:p w14:paraId="3B1724AD">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在合同订立及履行过程中形成的与合同有关的文件均构成合同文件组成部分。</w:t>
      </w:r>
    </w:p>
    <w:p w14:paraId="41372D8B">
      <w:pPr>
        <w:pageBreakBefore w:val="0"/>
        <w:shd w:val="clear"/>
        <w:autoSpaceDE w:val="0"/>
        <w:autoSpaceDN w:val="0"/>
        <w:bidi w:val="0"/>
        <w:adjustRightInd w:val="0"/>
        <w:snapToGrid w:val="0"/>
        <w:spacing w:beforeAutospacing="0" w:afterAutospacing="0" w:line="568" w:lineRule="exact"/>
        <w:ind w:firstLine="420" w:firstLineChars="200"/>
        <w:jc w:val="left"/>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6094BCB4">
      <w:pPr>
        <w:pStyle w:val="9"/>
        <w:pageBreakBefore w:val="0"/>
        <w:shd w:val="clear"/>
        <w:bidi w:val="0"/>
        <w:adjustRightInd w:val="0"/>
        <w:snapToGrid w:val="0"/>
        <w:spacing w:beforeAutospacing="0" w:afterAutospacing="0" w:line="568" w:lineRule="exact"/>
        <w:rPr>
          <w:rFonts w:ascii="黑体" w:hAnsi="黑体" w:eastAsia="黑体" w:cs="黑体"/>
          <w:b w:val="0"/>
          <w:color w:val="auto"/>
          <w:sz w:val="21"/>
          <w:szCs w:val="21"/>
          <w:highlight w:val="none"/>
        </w:rPr>
      </w:pPr>
      <w:bookmarkStart w:id="11" w:name="_Toc37168870"/>
      <w:r>
        <w:rPr>
          <w:rFonts w:hint="eastAsia" w:ascii="黑体" w:hAnsi="黑体" w:eastAsia="黑体" w:cs="黑体"/>
          <w:b w:val="0"/>
          <w:color w:val="auto"/>
          <w:sz w:val="21"/>
          <w:szCs w:val="21"/>
          <w:highlight w:val="none"/>
        </w:rPr>
        <w:t>七、承诺</w:t>
      </w:r>
      <w:bookmarkEnd w:id="11"/>
    </w:p>
    <w:p w14:paraId="53F0C924">
      <w:pPr>
        <w:pageBreakBefore w:val="0"/>
        <w:shd w:val="clear"/>
        <w:bidi w:val="0"/>
        <w:adjustRightInd w:val="0"/>
        <w:snapToGrid w:val="0"/>
        <w:spacing w:beforeAutospacing="0" w:afterAutospacing="0" w:line="568" w:lineRule="exact"/>
        <w:ind w:firstLine="420" w:firstLineChars="200"/>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1.发包人承诺</w:t>
      </w:r>
      <w:r>
        <w:rPr>
          <w:rFonts w:hint="eastAsia" w:ascii="仿宋" w:hAnsi="仿宋" w:eastAsia="仿宋" w:cs="仿宋"/>
          <w:bCs/>
          <w:color w:val="auto"/>
          <w:sz w:val="21"/>
          <w:szCs w:val="21"/>
          <w:highlight w:val="none"/>
        </w:rPr>
        <w:t>根据</w:t>
      </w:r>
      <w:r>
        <w:rPr>
          <w:rFonts w:ascii="仿宋" w:hAnsi="仿宋" w:eastAsia="仿宋" w:cs="仿宋"/>
          <w:bCs/>
          <w:color w:val="auto"/>
          <w:sz w:val="21"/>
          <w:szCs w:val="21"/>
          <w:highlight w:val="none"/>
        </w:rPr>
        <w:t>合同约定的期限和方式支付合同价款。</w:t>
      </w:r>
    </w:p>
    <w:p w14:paraId="0512D2D2">
      <w:pPr>
        <w:pageBreakBefore w:val="0"/>
        <w:shd w:val="clear"/>
        <w:bidi w:val="0"/>
        <w:adjustRightInd w:val="0"/>
        <w:snapToGrid w:val="0"/>
        <w:spacing w:beforeAutospacing="0" w:afterAutospacing="0" w:line="568" w:lineRule="exact"/>
        <w:ind w:firstLine="420" w:firstLineChars="200"/>
        <w:rPr>
          <w:rFonts w:ascii="仿宋" w:hAnsi="仿宋" w:eastAsia="仿宋" w:cs="仿宋"/>
          <w:bCs/>
          <w:color w:val="auto"/>
          <w:sz w:val="21"/>
          <w:szCs w:val="21"/>
          <w:highlight w:val="none"/>
        </w:rPr>
      </w:pPr>
      <w:r>
        <w:rPr>
          <w:rFonts w:ascii="仿宋" w:hAnsi="仿宋" w:eastAsia="仿宋" w:cs="仿宋"/>
          <w:bCs/>
          <w:color w:val="auto"/>
          <w:sz w:val="21"/>
          <w:szCs w:val="21"/>
          <w:highlight w:val="none"/>
        </w:rPr>
        <w:t>2.承包人承诺</w:t>
      </w:r>
      <w:r>
        <w:rPr>
          <w:rFonts w:hint="eastAsia" w:ascii="仿宋" w:hAnsi="仿宋" w:eastAsia="仿宋" w:cs="仿宋"/>
          <w:bCs/>
          <w:color w:val="auto"/>
          <w:sz w:val="21"/>
          <w:szCs w:val="21"/>
          <w:highlight w:val="none"/>
        </w:rPr>
        <w:t>根据</w:t>
      </w:r>
      <w:r>
        <w:rPr>
          <w:rFonts w:ascii="仿宋" w:hAnsi="仿宋" w:eastAsia="仿宋" w:cs="仿宋"/>
          <w:bCs/>
          <w:color w:val="auto"/>
          <w:sz w:val="21"/>
          <w:szCs w:val="21"/>
          <w:highlight w:val="none"/>
        </w:rPr>
        <w:t>法律规定及合同约定组织完成工程施工，确保工程质量和安全，</w:t>
      </w:r>
      <w:r>
        <w:rPr>
          <w:rFonts w:hint="eastAsia" w:ascii="仿宋" w:hAnsi="仿宋" w:eastAsia="仿宋" w:cs="仿宋"/>
          <w:bCs/>
          <w:color w:val="auto"/>
          <w:sz w:val="21"/>
          <w:szCs w:val="21"/>
          <w:highlight w:val="none"/>
        </w:rPr>
        <w:t>不进行转包及违法分包，并在缺陷责任期及保修期内承担相应的工程维修责任。</w:t>
      </w:r>
    </w:p>
    <w:p w14:paraId="43B71BD4">
      <w:pPr>
        <w:pStyle w:val="2"/>
        <w:pageBreakBefore w:val="0"/>
        <w:shd w:val="clear"/>
        <w:bidi w:val="0"/>
        <w:adjustRightInd w:val="0"/>
        <w:snapToGrid w:val="0"/>
        <w:spacing w:beforeAutospacing="0" w:afterAutospacing="0" w:line="568" w:lineRule="exact"/>
        <w:ind w:left="0" w:leftChars="0" w:firstLine="420" w:firstLineChars="200"/>
        <w:rPr>
          <w:rFonts w:ascii="仿宋" w:hAnsi="仿宋" w:eastAsia="仿宋" w:cs="仿宋"/>
          <w:bCs/>
          <w:color w:val="auto"/>
          <w:sz w:val="21"/>
          <w:szCs w:val="21"/>
          <w:highlight w:val="none"/>
          <w:lang w:eastAsia="zh-CN"/>
        </w:rPr>
      </w:pPr>
      <w:r>
        <w:rPr>
          <w:rFonts w:ascii="仿宋" w:hAnsi="仿宋" w:eastAsia="仿宋" w:cs="仿宋"/>
          <w:bCs/>
          <w:color w:val="auto"/>
          <w:sz w:val="21"/>
          <w:szCs w:val="21"/>
          <w:highlight w:val="none"/>
        </w:rPr>
        <w:t>3.</w:t>
      </w:r>
      <w:r>
        <w:rPr>
          <w:rFonts w:hint="eastAsia" w:ascii="仿宋" w:hAnsi="仿宋" w:eastAsia="仿宋" w:cs="仿宋"/>
          <w:bCs/>
          <w:color w:val="auto"/>
          <w:sz w:val="21"/>
          <w:szCs w:val="21"/>
          <w:highlight w:val="none"/>
          <w:lang w:eastAsia="zh-CN"/>
        </w:rPr>
        <w:t>承包人承诺本合同工程款专用于本项目建设，并保证执行</w:t>
      </w:r>
      <w:r>
        <w:rPr>
          <w:rFonts w:hint="eastAsia" w:ascii="仿宋" w:hAnsi="仿宋" w:eastAsia="仿宋" w:cs="仿宋"/>
          <w:bCs/>
          <w:color w:val="auto"/>
          <w:sz w:val="21"/>
          <w:szCs w:val="21"/>
          <w:highlight w:val="none"/>
          <w:lang w:eastAsia="zh-CN" w:bidi="ar-SA"/>
        </w:rPr>
        <w:t>国务院令第</w:t>
      </w:r>
      <w:r>
        <w:rPr>
          <w:rFonts w:ascii="仿宋" w:hAnsi="仿宋" w:eastAsia="仿宋" w:cs="仿宋"/>
          <w:bCs/>
          <w:color w:val="auto"/>
          <w:sz w:val="21"/>
          <w:szCs w:val="21"/>
          <w:highlight w:val="none"/>
          <w:lang w:eastAsia="zh-CN" w:bidi="ar-SA"/>
        </w:rPr>
        <w:t>724号《保障农民工工资支付条例》</w:t>
      </w:r>
      <w:r>
        <w:rPr>
          <w:rFonts w:hint="eastAsia" w:ascii="仿宋" w:hAnsi="仿宋" w:eastAsia="仿宋" w:cs="仿宋"/>
          <w:bCs/>
          <w:color w:val="auto"/>
          <w:sz w:val="21"/>
          <w:szCs w:val="21"/>
          <w:highlight w:val="none"/>
          <w:lang w:eastAsia="zh-CN" w:bidi="ar-SA"/>
        </w:rPr>
        <w:t>、国</w:t>
      </w:r>
      <w:r>
        <w:rPr>
          <w:rFonts w:hint="eastAsia" w:ascii="仿宋" w:hAnsi="仿宋" w:eastAsia="仿宋" w:cs="仿宋"/>
          <w:bCs/>
          <w:color w:val="auto"/>
          <w:sz w:val="21"/>
          <w:szCs w:val="21"/>
          <w:highlight w:val="none"/>
          <w:lang w:eastAsia="zh-CN"/>
        </w:rPr>
        <w:t>务院令第728号《</w:t>
      </w:r>
      <w:r>
        <w:rPr>
          <w:rFonts w:ascii="仿宋" w:hAnsi="仿宋" w:eastAsia="仿宋" w:cs="仿宋"/>
          <w:bCs/>
          <w:color w:val="auto"/>
          <w:kern w:val="0"/>
          <w:sz w:val="21"/>
          <w:szCs w:val="21"/>
          <w:highlight w:val="none"/>
          <w:lang w:eastAsia="zh-CN"/>
        </w:rPr>
        <w:t>保障中小企业款项支付条例</w:t>
      </w:r>
      <w:r>
        <w:rPr>
          <w:rFonts w:hint="eastAsia" w:ascii="仿宋" w:hAnsi="仿宋" w:eastAsia="仿宋" w:cs="仿宋"/>
          <w:bCs/>
          <w:color w:val="auto"/>
          <w:sz w:val="21"/>
          <w:szCs w:val="21"/>
          <w:highlight w:val="none"/>
          <w:lang w:eastAsia="zh-CN"/>
        </w:rPr>
        <w:t>》相关规定。</w:t>
      </w:r>
    </w:p>
    <w:p w14:paraId="0E3C4B3D">
      <w:pPr>
        <w:pStyle w:val="9"/>
        <w:pageBreakBefore w:val="0"/>
        <w:shd w:val="clear"/>
        <w:bidi w:val="0"/>
        <w:adjustRightInd w:val="0"/>
        <w:snapToGrid w:val="0"/>
        <w:spacing w:beforeAutospacing="0" w:afterAutospacing="0" w:line="568" w:lineRule="exact"/>
        <w:rPr>
          <w:rFonts w:ascii="黑体" w:hAnsi="黑体" w:eastAsia="黑体" w:cs="黑体"/>
          <w:bCs w:val="0"/>
          <w:color w:val="auto"/>
          <w:sz w:val="21"/>
          <w:szCs w:val="21"/>
          <w:highlight w:val="none"/>
        </w:rPr>
      </w:pPr>
      <w:bookmarkStart w:id="12" w:name="_Toc37168871"/>
      <w:r>
        <w:rPr>
          <w:rFonts w:hint="eastAsia" w:ascii="黑体" w:hAnsi="黑体" w:eastAsia="黑体" w:cs="黑体"/>
          <w:b w:val="0"/>
          <w:color w:val="auto"/>
          <w:sz w:val="21"/>
          <w:szCs w:val="21"/>
          <w:highlight w:val="none"/>
        </w:rPr>
        <w:t>八、词语含义</w:t>
      </w:r>
      <w:bookmarkEnd w:id="12"/>
    </w:p>
    <w:p w14:paraId="59D4D974">
      <w:pPr>
        <w:pageBreakBefore w:val="0"/>
        <w:shd w:val="clear"/>
        <w:bidi w:val="0"/>
        <w:adjustRightInd w:val="0"/>
        <w:snapToGrid w:val="0"/>
        <w:spacing w:beforeAutospacing="0" w:afterAutospacing="0" w:line="568" w:lineRule="exact"/>
        <w:ind w:firstLine="420" w:firstLineChars="200"/>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本协议书中词语含义与第二部分通用合同条款中赋予的含义相同。</w:t>
      </w:r>
    </w:p>
    <w:p w14:paraId="57AC8AD9">
      <w:pPr>
        <w:pStyle w:val="9"/>
        <w:pageBreakBefore w:val="0"/>
        <w:shd w:val="clear"/>
        <w:bidi w:val="0"/>
        <w:adjustRightInd w:val="0"/>
        <w:snapToGrid w:val="0"/>
        <w:spacing w:beforeAutospacing="0" w:afterAutospacing="0" w:line="568" w:lineRule="exact"/>
        <w:rPr>
          <w:rFonts w:ascii="仿宋" w:hAnsi="仿宋" w:eastAsia="仿宋" w:cs="仿宋"/>
          <w:bCs w:val="0"/>
          <w:color w:val="auto"/>
          <w:sz w:val="21"/>
          <w:szCs w:val="21"/>
          <w:highlight w:val="none"/>
        </w:rPr>
      </w:pPr>
      <w:bookmarkStart w:id="13" w:name="_Toc37168872"/>
      <w:r>
        <w:rPr>
          <w:rFonts w:hint="eastAsia" w:ascii="黑体" w:hAnsi="黑体" w:eastAsia="黑体" w:cs="黑体"/>
          <w:b w:val="0"/>
          <w:color w:val="auto"/>
          <w:sz w:val="21"/>
          <w:szCs w:val="21"/>
          <w:highlight w:val="none"/>
        </w:rPr>
        <w:t>九、签订时间</w:t>
      </w:r>
      <w:bookmarkEnd w:id="13"/>
    </w:p>
    <w:p w14:paraId="17A972FF">
      <w:pPr>
        <w:pageBreakBefore w:val="0"/>
        <w:shd w:val="clear"/>
        <w:bidi w:val="0"/>
        <w:adjustRightInd w:val="0"/>
        <w:snapToGrid w:val="0"/>
        <w:spacing w:beforeAutospacing="0" w:afterAutospacing="0" w:line="568" w:lineRule="exact"/>
        <w:ind w:firstLine="420" w:firstLineChars="200"/>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本合同于</w:t>
      </w:r>
      <w:r>
        <w:rPr>
          <w:rFonts w:hint="eastAsia" w:ascii="仿宋" w:hAnsi="仿宋" w:eastAsia="仿宋" w:cs="仿宋"/>
          <w:bCs/>
          <w:color w:val="auto"/>
          <w:sz w:val="21"/>
          <w:szCs w:val="21"/>
          <w:highlight w:val="none"/>
          <w:u w:val="single"/>
          <w:lang w:val="en-US" w:eastAsia="zh-CN"/>
        </w:rPr>
        <w:t xml:space="preserve">   </w:t>
      </w:r>
      <w:r>
        <w:rPr>
          <w:rFonts w:hint="eastAsia" w:ascii="仿宋" w:hAnsi="仿宋" w:eastAsia="仿宋" w:cs="仿宋"/>
          <w:bCs/>
          <w:color w:val="auto"/>
          <w:sz w:val="21"/>
          <w:szCs w:val="21"/>
          <w:highlight w:val="none"/>
          <w:u w:val="single"/>
        </w:rPr>
        <w:t>年</w:t>
      </w:r>
      <w:r>
        <w:rPr>
          <w:rFonts w:hint="eastAsia" w:ascii="仿宋" w:hAnsi="仿宋" w:eastAsia="仿宋" w:cs="仿宋"/>
          <w:bCs/>
          <w:color w:val="auto"/>
          <w:sz w:val="21"/>
          <w:szCs w:val="21"/>
          <w:highlight w:val="none"/>
          <w:u w:val="single"/>
          <w:lang w:val="en-US" w:eastAsia="zh-CN"/>
        </w:rPr>
        <w:t xml:space="preserve">   </w:t>
      </w:r>
      <w:r>
        <w:rPr>
          <w:rFonts w:hint="eastAsia" w:ascii="仿宋" w:hAnsi="仿宋" w:eastAsia="仿宋" w:cs="仿宋"/>
          <w:bCs/>
          <w:color w:val="auto"/>
          <w:sz w:val="21"/>
          <w:szCs w:val="21"/>
          <w:highlight w:val="none"/>
          <w:u w:val="single"/>
        </w:rPr>
        <w:t>月</w:t>
      </w:r>
      <w:r>
        <w:rPr>
          <w:rFonts w:hint="eastAsia" w:ascii="仿宋" w:hAnsi="仿宋" w:eastAsia="仿宋" w:cs="仿宋"/>
          <w:bCs/>
          <w:color w:val="auto"/>
          <w:sz w:val="21"/>
          <w:szCs w:val="21"/>
          <w:highlight w:val="none"/>
          <w:u w:val="single"/>
          <w:lang w:val="en-US" w:eastAsia="zh-CN"/>
        </w:rPr>
        <w:t xml:space="preserve">   </w:t>
      </w:r>
      <w:r>
        <w:rPr>
          <w:rFonts w:hint="eastAsia" w:ascii="仿宋" w:hAnsi="仿宋" w:eastAsia="仿宋" w:cs="仿宋"/>
          <w:bCs/>
          <w:color w:val="auto"/>
          <w:sz w:val="21"/>
          <w:szCs w:val="21"/>
          <w:highlight w:val="none"/>
          <w:u w:val="single"/>
        </w:rPr>
        <w:t>日</w:t>
      </w:r>
      <w:r>
        <w:rPr>
          <w:rFonts w:hint="eastAsia" w:ascii="仿宋" w:hAnsi="仿宋" w:eastAsia="仿宋" w:cs="仿宋"/>
          <w:bCs/>
          <w:color w:val="auto"/>
          <w:sz w:val="21"/>
          <w:szCs w:val="21"/>
          <w:highlight w:val="none"/>
        </w:rPr>
        <w:t>签订。</w:t>
      </w:r>
    </w:p>
    <w:p w14:paraId="0AEF01F8">
      <w:pPr>
        <w:pStyle w:val="9"/>
        <w:pageBreakBefore w:val="0"/>
        <w:shd w:val="clear"/>
        <w:bidi w:val="0"/>
        <w:adjustRightInd w:val="0"/>
        <w:snapToGrid w:val="0"/>
        <w:spacing w:beforeAutospacing="0" w:afterAutospacing="0" w:line="568" w:lineRule="exact"/>
        <w:rPr>
          <w:rFonts w:ascii="黑体" w:hAnsi="黑体" w:eastAsia="黑体" w:cs="黑体"/>
          <w:bCs w:val="0"/>
          <w:color w:val="auto"/>
          <w:sz w:val="21"/>
          <w:szCs w:val="21"/>
          <w:highlight w:val="none"/>
        </w:rPr>
      </w:pPr>
      <w:bookmarkStart w:id="14" w:name="_Toc37168873"/>
      <w:r>
        <w:rPr>
          <w:rFonts w:hint="eastAsia" w:ascii="黑体" w:hAnsi="黑体" w:eastAsia="黑体" w:cs="黑体"/>
          <w:b w:val="0"/>
          <w:color w:val="auto"/>
          <w:sz w:val="21"/>
          <w:szCs w:val="21"/>
          <w:highlight w:val="none"/>
        </w:rPr>
        <w:t>十、签订地点</w:t>
      </w:r>
      <w:bookmarkEnd w:id="14"/>
    </w:p>
    <w:p w14:paraId="25748100">
      <w:pPr>
        <w:pageBreakBefore w:val="0"/>
        <w:shd w:val="clear"/>
        <w:bidi w:val="0"/>
        <w:adjustRightInd w:val="0"/>
        <w:snapToGrid w:val="0"/>
        <w:spacing w:beforeAutospacing="0" w:afterAutospacing="0" w:line="568" w:lineRule="exact"/>
        <w:ind w:firstLine="420" w:firstLineChars="200"/>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本合同在</w:t>
      </w:r>
      <w:r>
        <w:rPr>
          <w:rFonts w:hint="eastAsia" w:ascii="仿宋" w:hAnsi="仿宋" w:eastAsia="仿宋" w:cs="仿宋"/>
          <w:color w:val="auto"/>
          <w:sz w:val="21"/>
          <w:szCs w:val="21"/>
          <w:highlight w:val="none"/>
          <w:u w:val="single"/>
        </w:rPr>
        <w:t xml:space="preserve"> 长沙市芙蓉区 </w:t>
      </w:r>
      <w:r>
        <w:rPr>
          <w:rFonts w:hint="eastAsia" w:ascii="仿宋" w:hAnsi="仿宋" w:eastAsia="仿宋" w:cs="仿宋"/>
          <w:bCs/>
          <w:color w:val="auto"/>
          <w:sz w:val="21"/>
          <w:szCs w:val="21"/>
          <w:highlight w:val="none"/>
        </w:rPr>
        <w:t>签订。</w:t>
      </w:r>
    </w:p>
    <w:p w14:paraId="190F2B0C">
      <w:pPr>
        <w:pStyle w:val="9"/>
        <w:pageBreakBefore w:val="0"/>
        <w:shd w:val="clear"/>
        <w:bidi w:val="0"/>
        <w:adjustRightInd w:val="0"/>
        <w:snapToGrid w:val="0"/>
        <w:spacing w:beforeAutospacing="0" w:afterAutospacing="0" w:line="568" w:lineRule="exact"/>
        <w:rPr>
          <w:rFonts w:ascii="黑体" w:hAnsi="黑体" w:eastAsia="黑体" w:cs="黑体"/>
          <w:bCs w:val="0"/>
          <w:color w:val="auto"/>
          <w:sz w:val="21"/>
          <w:szCs w:val="21"/>
          <w:highlight w:val="none"/>
        </w:rPr>
      </w:pPr>
      <w:bookmarkStart w:id="15" w:name="_Toc37168874"/>
      <w:r>
        <w:rPr>
          <w:rFonts w:hint="eastAsia" w:ascii="黑体" w:hAnsi="黑体" w:eastAsia="黑体" w:cs="黑体"/>
          <w:b w:val="0"/>
          <w:color w:val="auto"/>
          <w:sz w:val="21"/>
          <w:szCs w:val="21"/>
          <w:highlight w:val="none"/>
        </w:rPr>
        <w:t>十一、补充协议</w:t>
      </w:r>
      <w:bookmarkEnd w:id="15"/>
    </w:p>
    <w:p w14:paraId="2308448C">
      <w:pPr>
        <w:pageBreakBefore w:val="0"/>
        <w:shd w:val="clear"/>
        <w:bidi w:val="0"/>
        <w:adjustRightInd w:val="0"/>
        <w:snapToGrid w:val="0"/>
        <w:spacing w:beforeAutospacing="0" w:afterAutospacing="0" w:line="568" w:lineRule="exact"/>
        <w:ind w:firstLine="420" w:firstLineChars="200"/>
        <w:rPr>
          <w:rFonts w:ascii="仿宋" w:hAnsi="仿宋" w:eastAsia="仿宋" w:cs="仿宋"/>
          <w:b/>
          <w:bCs/>
          <w:color w:val="auto"/>
          <w:sz w:val="21"/>
          <w:szCs w:val="21"/>
          <w:highlight w:val="none"/>
        </w:rPr>
      </w:pPr>
      <w:r>
        <w:rPr>
          <w:rFonts w:hint="eastAsia" w:ascii="仿宋" w:hAnsi="仿宋" w:eastAsia="仿宋" w:cs="仿宋"/>
          <w:bCs/>
          <w:color w:val="auto"/>
          <w:sz w:val="21"/>
          <w:szCs w:val="21"/>
          <w:highlight w:val="none"/>
        </w:rPr>
        <w:t>合同未尽事宜，合同当事人另行签订补充协议，补充协议是合同的组成部分。</w:t>
      </w:r>
    </w:p>
    <w:p w14:paraId="386F11A5">
      <w:pPr>
        <w:pStyle w:val="9"/>
        <w:pageBreakBefore w:val="0"/>
        <w:shd w:val="clear"/>
        <w:bidi w:val="0"/>
        <w:adjustRightInd w:val="0"/>
        <w:snapToGrid w:val="0"/>
        <w:spacing w:beforeAutospacing="0" w:afterAutospacing="0" w:line="568" w:lineRule="exact"/>
        <w:rPr>
          <w:rFonts w:ascii="黑体" w:hAnsi="黑体" w:eastAsia="黑体" w:cs="黑体"/>
          <w:bCs w:val="0"/>
          <w:color w:val="auto"/>
          <w:sz w:val="21"/>
          <w:szCs w:val="21"/>
          <w:highlight w:val="none"/>
        </w:rPr>
      </w:pPr>
      <w:bookmarkStart w:id="16" w:name="_Toc37168875"/>
      <w:r>
        <w:rPr>
          <w:rFonts w:hint="eastAsia" w:ascii="黑体" w:hAnsi="黑体" w:eastAsia="黑体" w:cs="黑体"/>
          <w:b w:val="0"/>
          <w:color w:val="auto"/>
          <w:sz w:val="21"/>
          <w:szCs w:val="21"/>
          <w:highlight w:val="none"/>
        </w:rPr>
        <w:t>十二、合同生效</w:t>
      </w:r>
      <w:bookmarkEnd w:id="16"/>
    </w:p>
    <w:p w14:paraId="53C1FDFA">
      <w:pPr>
        <w:pageBreakBefore w:val="0"/>
        <w:shd w:val="clear"/>
        <w:bidi w:val="0"/>
        <w:adjustRightInd w:val="0"/>
        <w:snapToGrid w:val="0"/>
        <w:spacing w:beforeAutospacing="0" w:afterAutospacing="0" w:line="568" w:lineRule="exact"/>
        <w:ind w:firstLine="420" w:firstLineChars="200"/>
        <w:rPr>
          <w:rFonts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本合同自</w:t>
      </w:r>
      <w:r>
        <w:rPr>
          <w:rFonts w:hint="eastAsia" w:ascii="仿宋" w:hAnsi="仿宋" w:eastAsia="仿宋" w:cs="仿宋"/>
          <w:color w:val="auto"/>
          <w:sz w:val="21"/>
          <w:szCs w:val="21"/>
          <w:highlight w:val="none"/>
        </w:rPr>
        <w:t>双方法定代表人或其授权代理人均签名、</w:t>
      </w:r>
      <w:r>
        <w:rPr>
          <w:rFonts w:hint="eastAsia" w:ascii="仿宋" w:hAnsi="仿宋" w:eastAsia="仿宋" w:cs="仿宋"/>
          <w:color w:val="auto"/>
          <w:sz w:val="21"/>
          <w:szCs w:val="21"/>
          <w:highlight w:val="none"/>
          <w:lang w:eastAsia="zh-CN"/>
        </w:rPr>
        <w:t>加盖公章或合同专用</w:t>
      </w:r>
      <w:r>
        <w:rPr>
          <w:rFonts w:hint="eastAsia" w:ascii="仿宋" w:hAnsi="仿宋" w:eastAsia="仿宋" w:cs="仿宋"/>
          <w:color w:val="auto"/>
          <w:sz w:val="21"/>
          <w:szCs w:val="21"/>
          <w:highlight w:val="none"/>
        </w:rPr>
        <w:t>章时</w:t>
      </w:r>
      <w:r>
        <w:rPr>
          <w:rFonts w:hint="eastAsia" w:ascii="仿宋" w:hAnsi="仿宋" w:eastAsia="仿宋" w:cs="仿宋"/>
          <w:bCs/>
          <w:color w:val="auto"/>
          <w:sz w:val="21"/>
          <w:szCs w:val="21"/>
          <w:highlight w:val="none"/>
        </w:rPr>
        <w:t>生效。</w:t>
      </w:r>
    </w:p>
    <w:p w14:paraId="1E153121">
      <w:pPr>
        <w:pStyle w:val="9"/>
        <w:pageBreakBefore w:val="0"/>
        <w:shd w:val="clear"/>
        <w:bidi w:val="0"/>
        <w:adjustRightInd w:val="0"/>
        <w:snapToGrid w:val="0"/>
        <w:spacing w:beforeAutospacing="0" w:afterAutospacing="0" w:line="568" w:lineRule="exact"/>
        <w:rPr>
          <w:rFonts w:ascii="仿宋" w:hAnsi="仿宋" w:eastAsia="仿宋" w:cs="仿宋"/>
          <w:bCs w:val="0"/>
          <w:color w:val="auto"/>
          <w:sz w:val="21"/>
          <w:szCs w:val="21"/>
          <w:highlight w:val="none"/>
        </w:rPr>
      </w:pPr>
      <w:bookmarkStart w:id="17" w:name="_Toc37168876"/>
      <w:r>
        <w:rPr>
          <w:rFonts w:hint="eastAsia" w:ascii="黑体" w:hAnsi="黑体" w:eastAsia="黑体" w:cs="黑体"/>
          <w:b w:val="0"/>
          <w:color w:val="auto"/>
          <w:sz w:val="21"/>
          <w:szCs w:val="21"/>
          <w:highlight w:val="none"/>
        </w:rPr>
        <w:t>十三、合同份数</w:t>
      </w:r>
      <w:bookmarkEnd w:id="17"/>
    </w:p>
    <w:p w14:paraId="03822DDF">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本合同一式</w:t>
      </w:r>
      <w:r>
        <w:rPr>
          <w:rFonts w:hint="eastAsia" w:ascii="仿宋" w:hAnsi="仿宋" w:eastAsia="仿宋" w:cs="仿宋"/>
          <w:bCs/>
          <w:color w:val="auto"/>
          <w:sz w:val="21"/>
          <w:szCs w:val="21"/>
          <w:highlight w:val="none"/>
          <w:u w:val="single"/>
          <w:lang w:eastAsia="zh-CN"/>
        </w:rPr>
        <w:t>肆</w:t>
      </w:r>
      <w:r>
        <w:rPr>
          <w:rFonts w:hint="eastAsia" w:ascii="仿宋" w:hAnsi="仿宋" w:eastAsia="仿宋" w:cs="仿宋"/>
          <w:bCs/>
          <w:color w:val="auto"/>
          <w:sz w:val="21"/>
          <w:szCs w:val="21"/>
          <w:highlight w:val="none"/>
        </w:rPr>
        <w:t>份，均具有同等法律效力，发包人执</w:t>
      </w:r>
      <w:r>
        <w:rPr>
          <w:rFonts w:hint="eastAsia" w:ascii="仿宋" w:hAnsi="仿宋" w:eastAsia="仿宋" w:cs="仿宋"/>
          <w:bCs/>
          <w:color w:val="auto"/>
          <w:sz w:val="21"/>
          <w:szCs w:val="21"/>
          <w:highlight w:val="none"/>
          <w:u w:val="single"/>
        </w:rPr>
        <w:t xml:space="preserve"> </w:t>
      </w:r>
      <w:r>
        <w:rPr>
          <w:rFonts w:hint="eastAsia" w:ascii="仿宋" w:hAnsi="仿宋" w:eastAsia="仿宋" w:cs="仿宋"/>
          <w:bCs/>
          <w:color w:val="auto"/>
          <w:sz w:val="21"/>
          <w:szCs w:val="21"/>
          <w:highlight w:val="none"/>
          <w:u w:val="single"/>
          <w:lang w:eastAsia="zh-CN"/>
        </w:rPr>
        <w:t>贰</w:t>
      </w:r>
      <w:r>
        <w:rPr>
          <w:rFonts w:hint="eastAsia" w:ascii="仿宋" w:hAnsi="仿宋" w:eastAsia="仿宋" w:cs="仿宋"/>
          <w:bCs/>
          <w:color w:val="auto"/>
          <w:sz w:val="21"/>
          <w:szCs w:val="21"/>
          <w:highlight w:val="none"/>
          <w:u w:val="single"/>
        </w:rPr>
        <w:t xml:space="preserve"> </w:t>
      </w:r>
      <w:r>
        <w:rPr>
          <w:rFonts w:hint="eastAsia" w:ascii="仿宋" w:hAnsi="仿宋" w:eastAsia="仿宋" w:cs="仿宋"/>
          <w:bCs/>
          <w:color w:val="auto"/>
          <w:sz w:val="21"/>
          <w:szCs w:val="21"/>
          <w:highlight w:val="none"/>
        </w:rPr>
        <w:t>份，承包人执</w:t>
      </w:r>
      <w:r>
        <w:rPr>
          <w:rFonts w:hint="eastAsia" w:ascii="仿宋" w:hAnsi="仿宋" w:eastAsia="仿宋" w:cs="仿宋"/>
          <w:bCs/>
          <w:color w:val="auto"/>
          <w:sz w:val="21"/>
          <w:szCs w:val="21"/>
          <w:highlight w:val="none"/>
          <w:u w:val="single"/>
        </w:rPr>
        <w:t xml:space="preserve"> </w:t>
      </w:r>
      <w:r>
        <w:rPr>
          <w:rFonts w:hint="eastAsia" w:ascii="仿宋" w:hAnsi="仿宋" w:eastAsia="仿宋" w:cs="仿宋"/>
          <w:bCs/>
          <w:color w:val="auto"/>
          <w:sz w:val="21"/>
          <w:szCs w:val="21"/>
          <w:highlight w:val="none"/>
          <w:u w:val="single"/>
          <w:lang w:eastAsia="zh-CN"/>
        </w:rPr>
        <w:t>贰</w:t>
      </w:r>
      <w:r>
        <w:rPr>
          <w:rFonts w:hint="eastAsia" w:ascii="仿宋" w:hAnsi="仿宋" w:eastAsia="仿宋" w:cs="仿宋"/>
          <w:bCs/>
          <w:color w:val="auto"/>
          <w:sz w:val="21"/>
          <w:szCs w:val="21"/>
          <w:highlight w:val="none"/>
        </w:rPr>
        <w:t>份。</w:t>
      </w:r>
    </w:p>
    <w:p w14:paraId="28FA9D8D">
      <w:pPr>
        <w:pageBreakBefore w:val="0"/>
        <w:shd w:val="clear"/>
        <w:bidi w:val="0"/>
        <w:adjustRightInd w:val="0"/>
        <w:snapToGrid w:val="0"/>
        <w:spacing w:beforeAutospacing="0" w:afterAutospacing="0" w:line="568" w:lineRule="exact"/>
        <w:ind w:firstLine="560" w:firstLineChars="200"/>
        <w:rPr>
          <w:rFonts w:hint="eastAsia" w:ascii="仿宋" w:hAnsi="仿宋" w:eastAsia="仿宋" w:cs="仿宋"/>
          <w:bCs/>
          <w:color w:val="auto"/>
          <w:sz w:val="28"/>
          <w:szCs w:val="28"/>
          <w:highlight w:val="none"/>
        </w:rPr>
      </w:pPr>
    </w:p>
    <w:p w14:paraId="1EE15060">
      <w:pPr>
        <w:pageBreakBefore w:val="0"/>
        <w:shd w:val="clear"/>
        <w:bidi w:val="0"/>
        <w:adjustRightInd w:val="0"/>
        <w:snapToGrid w:val="0"/>
        <w:spacing w:beforeAutospacing="0" w:afterAutospacing="0" w:line="568" w:lineRule="exact"/>
        <w:ind w:firstLine="560" w:firstLineChars="200"/>
        <w:rPr>
          <w:rFonts w:hint="eastAsia" w:ascii="仿宋" w:hAnsi="仿宋" w:eastAsia="仿宋" w:cs="仿宋"/>
          <w:bCs/>
          <w:color w:val="auto"/>
          <w:sz w:val="28"/>
          <w:szCs w:val="28"/>
          <w:highlight w:val="none"/>
        </w:rPr>
      </w:pPr>
    </w:p>
    <w:p w14:paraId="41B7722B">
      <w:pPr>
        <w:pageBreakBefore w:val="0"/>
        <w:shd w:val="clear"/>
        <w:bidi w:val="0"/>
        <w:adjustRightInd w:val="0"/>
        <w:snapToGrid w:val="0"/>
        <w:spacing w:beforeAutospacing="0" w:afterAutospacing="0" w:line="568" w:lineRule="exact"/>
        <w:ind w:firstLine="560" w:firstLineChars="200"/>
        <w:rPr>
          <w:rFonts w:hint="eastAsia" w:ascii="仿宋" w:hAnsi="仿宋" w:eastAsia="仿宋" w:cs="仿宋"/>
          <w:bCs/>
          <w:color w:val="auto"/>
          <w:sz w:val="28"/>
          <w:szCs w:val="28"/>
          <w:highlight w:val="none"/>
        </w:rPr>
      </w:pPr>
    </w:p>
    <w:p w14:paraId="7E871A47">
      <w:pPr>
        <w:pStyle w:val="2"/>
        <w:rPr>
          <w:rFonts w:hint="eastAsia" w:ascii="仿宋" w:hAnsi="仿宋" w:eastAsia="仿宋" w:cs="仿宋"/>
          <w:bCs/>
          <w:color w:val="auto"/>
          <w:sz w:val="28"/>
          <w:szCs w:val="28"/>
          <w:highlight w:val="none"/>
        </w:rPr>
      </w:pPr>
    </w:p>
    <w:p w14:paraId="3E407ED7">
      <w:pPr>
        <w:pStyle w:val="5"/>
        <w:rPr>
          <w:rFonts w:hint="eastAsia" w:ascii="仿宋" w:hAnsi="仿宋" w:eastAsia="仿宋" w:cs="仿宋"/>
          <w:bCs/>
          <w:color w:val="auto"/>
          <w:sz w:val="28"/>
          <w:szCs w:val="28"/>
          <w:highlight w:val="none"/>
        </w:rPr>
      </w:pPr>
    </w:p>
    <w:p w14:paraId="2D8D2BC6">
      <w:pPr>
        <w:pStyle w:val="5"/>
        <w:rPr>
          <w:rFonts w:hint="eastAsia" w:ascii="仿宋" w:hAnsi="仿宋" w:eastAsia="仿宋" w:cs="仿宋"/>
          <w:bCs/>
          <w:color w:val="auto"/>
          <w:sz w:val="28"/>
          <w:szCs w:val="28"/>
          <w:highlight w:val="none"/>
        </w:rPr>
      </w:pPr>
    </w:p>
    <w:p w14:paraId="552C82C0">
      <w:pPr>
        <w:pStyle w:val="5"/>
        <w:rPr>
          <w:rFonts w:hint="eastAsia" w:ascii="仿宋" w:hAnsi="仿宋" w:eastAsia="仿宋" w:cs="仿宋"/>
          <w:bCs/>
          <w:color w:val="auto"/>
          <w:sz w:val="28"/>
          <w:szCs w:val="28"/>
          <w:highlight w:val="none"/>
        </w:rPr>
      </w:pPr>
    </w:p>
    <w:p w14:paraId="762540F5">
      <w:pPr>
        <w:pStyle w:val="5"/>
        <w:rPr>
          <w:rFonts w:hint="eastAsia" w:ascii="仿宋" w:hAnsi="仿宋" w:eastAsia="仿宋" w:cs="仿宋"/>
          <w:bCs/>
          <w:color w:val="auto"/>
          <w:sz w:val="28"/>
          <w:szCs w:val="28"/>
          <w:highlight w:val="none"/>
        </w:rPr>
      </w:pPr>
    </w:p>
    <w:tbl>
      <w:tblPr>
        <w:tblStyle w:val="26"/>
        <w:tblpPr w:leftFromText="180" w:rightFromText="180" w:vertAnchor="text" w:horzAnchor="page" w:tblpX="1526" w:tblpY="119"/>
        <w:tblW w:w="9322" w:type="dxa"/>
        <w:tblInd w:w="0" w:type="dxa"/>
        <w:tblLayout w:type="fixed"/>
        <w:tblCellMar>
          <w:top w:w="0" w:type="dxa"/>
          <w:left w:w="108" w:type="dxa"/>
          <w:bottom w:w="0" w:type="dxa"/>
          <w:right w:w="108" w:type="dxa"/>
        </w:tblCellMar>
      </w:tblPr>
      <w:tblGrid>
        <w:gridCol w:w="4587"/>
        <w:gridCol w:w="4735"/>
      </w:tblGrid>
      <w:tr w14:paraId="63091782">
        <w:tblPrEx>
          <w:tblCellMar>
            <w:top w:w="0" w:type="dxa"/>
            <w:left w:w="108" w:type="dxa"/>
            <w:bottom w:w="0" w:type="dxa"/>
            <w:right w:w="108" w:type="dxa"/>
          </w:tblCellMar>
        </w:tblPrEx>
        <w:trPr>
          <w:trHeight w:val="990" w:hRule="atLeast"/>
        </w:trPr>
        <w:tc>
          <w:tcPr>
            <w:tcW w:w="4587" w:type="dxa"/>
            <w:noWrap w:val="0"/>
            <w:vAlign w:val="top"/>
          </w:tcPr>
          <w:p w14:paraId="1ADD9CBD">
            <w:pPr>
              <w:pageBreakBefore w:val="0"/>
              <w:shd w:val="clear"/>
              <w:wordWrap/>
              <w:bidi w:val="0"/>
              <w:adjustRightInd w:val="0"/>
              <w:snapToGrid w:val="0"/>
              <w:spacing w:beforeAutospacing="0" w:afterAutospacing="0" w:line="568" w:lineRule="exact"/>
              <w:jc w:val="left"/>
              <w:rPr>
                <w:rFonts w:ascii="仿宋" w:hAnsi="仿宋" w:eastAsia="仿宋"/>
                <w:color w:val="auto"/>
                <w:sz w:val="21"/>
                <w:szCs w:val="21"/>
                <w:highlight w:val="none"/>
              </w:rPr>
            </w:pPr>
            <w:r>
              <w:rPr>
                <w:rFonts w:hint="eastAsia" w:ascii="仿宋" w:hAnsi="仿宋" w:eastAsia="仿宋"/>
                <w:color w:val="auto"/>
                <w:sz w:val="21"/>
                <w:szCs w:val="21"/>
                <w:highlight w:val="none"/>
              </w:rPr>
              <w:t>发包人：（盖章）</w:t>
            </w:r>
          </w:p>
          <w:p w14:paraId="11ACFD52">
            <w:pPr>
              <w:pageBreakBefore w:val="0"/>
              <w:shd w:val="clear"/>
              <w:wordWrap/>
              <w:bidi w:val="0"/>
              <w:adjustRightInd w:val="0"/>
              <w:snapToGrid w:val="0"/>
              <w:spacing w:beforeAutospacing="0" w:afterAutospacing="0" w:line="568" w:lineRule="exact"/>
              <w:jc w:val="left"/>
              <w:rPr>
                <w:rFonts w:hint="eastAsia" w:ascii="仿宋" w:hAnsi="仿宋" w:eastAsia="仿宋"/>
                <w:color w:val="auto"/>
                <w:sz w:val="21"/>
                <w:szCs w:val="21"/>
                <w:highlight w:val="none"/>
                <w:lang w:eastAsia="zh-CN"/>
              </w:rPr>
            </w:pPr>
            <w:r>
              <w:rPr>
                <w:rFonts w:hint="eastAsia" w:ascii="仿宋" w:hAnsi="仿宋" w:eastAsia="仿宋"/>
                <w:color w:val="auto"/>
                <w:sz w:val="21"/>
                <w:szCs w:val="21"/>
                <w:highlight w:val="none"/>
                <w:u w:val="single"/>
                <w:lang w:eastAsia="zh-CN"/>
              </w:rPr>
              <w:t xml:space="preserve"> </w:t>
            </w:r>
            <w:r>
              <w:rPr>
                <w:rFonts w:hint="eastAsia" w:ascii="仿宋" w:hAnsi="仿宋" w:eastAsia="仿宋"/>
                <w:color w:val="auto"/>
                <w:sz w:val="21"/>
                <w:szCs w:val="21"/>
                <w:highlight w:val="none"/>
                <w:u w:val="single"/>
                <w:lang w:val="en-US" w:eastAsia="zh-CN"/>
              </w:rPr>
              <w:t>长沙芙蓉新城置业有限公司</w:t>
            </w:r>
            <w:r>
              <w:rPr>
                <w:rFonts w:hint="eastAsia" w:ascii="仿宋" w:hAnsi="仿宋" w:eastAsia="仿宋"/>
                <w:color w:val="auto"/>
                <w:sz w:val="21"/>
                <w:szCs w:val="21"/>
                <w:highlight w:val="none"/>
                <w:u w:val="single"/>
                <w:lang w:eastAsia="zh-CN"/>
              </w:rPr>
              <w:t xml:space="preserve">     </w:t>
            </w:r>
          </w:p>
        </w:tc>
        <w:tc>
          <w:tcPr>
            <w:tcW w:w="4735" w:type="dxa"/>
            <w:noWrap w:val="0"/>
            <w:vAlign w:val="top"/>
          </w:tcPr>
          <w:p w14:paraId="64E9FD02">
            <w:pPr>
              <w:pageBreakBefore w:val="0"/>
              <w:shd w:val="clear"/>
              <w:wordWrap/>
              <w:bidi w:val="0"/>
              <w:adjustRightInd w:val="0"/>
              <w:snapToGrid w:val="0"/>
              <w:spacing w:beforeAutospacing="0" w:afterAutospacing="0" w:line="568" w:lineRule="exact"/>
              <w:jc w:val="left"/>
              <w:rPr>
                <w:rFonts w:hint="eastAsia" w:ascii="仿宋" w:hAnsi="仿宋" w:eastAsia="仿宋"/>
                <w:color w:val="auto"/>
                <w:sz w:val="21"/>
                <w:szCs w:val="21"/>
                <w:highlight w:val="none"/>
              </w:rPr>
            </w:pPr>
            <w:r>
              <w:rPr>
                <w:rFonts w:hint="eastAsia" w:ascii="仿宋" w:hAnsi="仿宋" w:eastAsia="仿宋"/>
                <w:color w:val="auto"/>
                <w:sz w:val="21"/>
                <w:szCs w:val="21"/>
                <w:highlight w:val="none"/>
              </w:rPr>
              <w:t>承包人：（盖章）</w:t>
            </w:r>
          </w:p>
          <w:p w14:paraId="08B3059C">
            <w:pPr>
              <w:pageBreakBefore w:val="0"/>
              <w:shd w:val="clear"/>
              <w:wordWrap/>
              <w:bidi w:val="0"/>
              <w:adjustRightInd w:val="0"/>
              <w:snapToGrid w:val="0"/>
              <w:spacing w:beforeAutospacing="0" w:afterAutospacing="0" w:line="568" w:lineRule="exact"/>
              <w:jc w:val="left"/>
              <w:rPr>
                <w:rFonts w:hint="eastAsia" w:ascii="仿宋" w:hAnsi="仿宋" w:eastAsia="仿宋"/>
                <w:color w:val="auto"/>
                <w:sz w:val="21"/>
                <w:szCs w:val="21"/>
                <w:highlight w:val="none"/>
                <w:lang w:eastAsia="zh-CN"/>
              </w:rPr>
            </w:pPr>
            <w:r>
              <w:rPr>
                <w:rFonts w:hint="eastAsia" w:ascii="仿宋" w:hAnsi="仿宋" w:eastAsia="仿宋"/>
                <w:color w:val="auto"/>
                <w:sz w:val="21"/>
                <w:szCs w:val="21"/>
                <w:highlight w:val="none"/>
                <w:u w:val="single"/>
                <w:lang w:eastAsia="zh-CN"/>
              </w:rPr>
              <w:t xml:space="preserve"> </w:t>
            </w:r>
            <w:r>
              <w:rPr>
                <w:rFonts w:hint="eastAsia" w:ascii="仿宋" w:hAnsi="仿宋" w:eastAsia="仿宋"/>
                <w:color w:val="auto"/>
                <w:sz w:val="21"/>
                <w:szCs w:val="21"/>
                <w:highlight w:val="none"/>
                <w:u w:val="single"/>
                <w:lang w:val="en-US" w:eastAsia="zh-CN"/>
              </w:rPr>
              <w:t xml:space="preserve"> </w:t>
            </w:r>
            <w:r>
              <w:rPr>
                <w:rFonts w:hint="eastAsia" w:ascii="仿宋" w:hAnsi="仿宋" w:eastAsia="仿宋"/>
                <w:color w:val="auto"/>
                <w:sz w:val="21"/>
                <w:szCs w:val="21"/>
                <w:highlight w:val="none"/>
                <w:u w:val="single"/>
                <w:lang w:eastAsia="zh-CN"/>
              </w:rPr>
              <w:t xml:space="preserve">    </w:t>
            </w:r>
          </w:p>
        </w:tc>
      </w:tr>
      <w:tr w14:paraId="74623008">
        <w:tblPrEx>
          <w:tblCellMar>
            <w:top w:w="0" w:type="dxa"/>
            <w:left w:w="108" w:type="dxa"/>
            <w:bottom w:w="0" w:type="dxa"/>
            <w:right w:w="108" w:type="dxa"/>
          </w:tblCellMar>
        </w:tblPrEx>
        <w:trPr>
          <w:trHeight w:val="990" w:hRule="atLeast"/>
        </w:trPr>
        <w:tc>
          <w:tcPr>
            <w:tcW w:w="4587" w:type="dxa"/>
            <w:noWrap w:val="0"/>
            <w:vAlign w:val="top"/>
          </w:tcPr>
          <w:p w14:paraId="1EBF457E">
            <w:pPr>
              <w:pageBreakBefore w:val="0"/>
              <w:shd w:val="clear"/>
              <w:wordWrap/>
              <w:bidi w:val="0"/>
              <w:adjustRightInd w:val="0"/>
              <w:snapToGrid w:val="0"/>
              <w:spacing w:beforeAutospacing="0" w:afterAutospacing="0" w:line="568" w:lineRule="exact"/>
              <w:jc w:val="left"/>
              <w:rPr>
                <w:rFonts w:ascii="仿宋" w:hAnsi="仿宋" w:eastAsia="仿宋"/>
                <w:color w:val="auto"/>
                <w:sz w:val="21"/>
                <w:szCs w:val="21"/>
                <w:highlight w:val="none"/>
              </w:rPr>
            </w:pPr>
            <w:r>
              <w:rPr>
                <w:rFonts w:hint="eastAsia" w:ascii="仿宋" w:hAnsi="仿宋" w:eastAsia="仿宋"/>
                <w:color w:val="auto"/>
                <w:sz w:val="21"/>
                <w:szCs w:val="21"/>
                <w:highlight w:val="none"/>
              </w:rPr>
              <w:t>法定代表人或其委托代理人：</w:t>
            </w:r>
          </w:p>
          <w:p w14:paraId="435197C0">
            <w:pPr>
              <w:pageBreakBefore w:val="0"/>
              <w:shd w:val="clear"/>
              <w:wordWrap/>
              <w:bidi w:val="0"/>
              <w:adjustRightInd w:val="0"/>
              <w:snapToGrid w:val="0"/>
              <w:spacing w:beforeAutospacing="0" w:afterAutospacing="0" w:line="568" w:lineRule="exact"/>
              <w:jc w:val="left"/>
              <w:rPr>
                <w:rFonts w:ascii="仿宋" w:hAnsi="仿宋" w:eastAsia="仿宋"/>
                <w:color w:val="auto"/>
                <w:sz w:val="21"/>
                <w:szCs w:val="21"/>
                <w:highlight w:val="none"/>
                <w:u w:val="single"/>
              </w:rPr>
            </w:pPr>
            <w:r>
              <w:rPr>
                <w:rFonts w:hint="eastAsia" w:ascii="仿宋" w:hAnsi="仿宋" w:eastAsia="仿宋"/>
                <w:color w:val="auto"/>
                <w:sz w:val="21"/>
                <w:szCs w:val="21"/>
                <w:highlight w:val="none"/>
              </w:rPr>
              <w:t>（签字）</w:t>
            </w:r>
            <w:r>
              <w:rPr>
                <w:rFonts w:hint="eastAsia" w:ascii="仿宋" w:hAnsi="仿宋" w:eastAsia="仿宋"/>
                <w:color w:val="auto"/>
                <w:sz w:val="21"/>
                <w:szCs w:val="21"/>
                <w:highlight w:val="none"/>
                <w:u w:val="single"/>
              </w:rPr>
              <w:t xml:space="preserve">                  </w:t>
            </w:r>
          </w:p>
        </w:tc>
        <w:tc>
          <w:tcPr>
            <w:tcW w:w="4735" w:type="dxa"/>
            <w:noWrap w:val="0"/>
            <w:vAlign w:val="top"/>
          </w:tcPr>
          <w:p w14:paraId="4A5D4E7C">
            <w:pPr>
              <w:pageBreakBefore w:val="0"/>
              <w:shd w:val="clear"/>
              <w:wordWrap/>
              <w:bidi w:val="0"/>
              <w:adjustRightInd w:val="0"/>
              <w:snapToGrid w:val="0"/>
              <w:spacing w:beforeAutospacing="0" w:afterAutospacing="0" w:line="568" w:lineRule="exact"/>
              <w:jc w:val="left"/>
              <w:rPr>
                <w:rFonts w:ascii="仿宋" w:hAnsi="仿宋" w:eastAsia="仿宋"/>
                <w:color w:val="auto"/>
                <w:sz w:val="21"/>
                <w:szCs w:val="21"/>
                <w:highlight w:val="none"/>
              </w:rPr>
            </w:pPr>
            <w:r>
              <w:rPr>
                <w:rFonts w:hint="eastAsia" w:ascii="仿宋" w:hAnsi="仿宋" w:eastAsia="仿宋"/>
                <w:color w:val="auto"/>
                <w:sz w:val="21"/>
                <w:szCs w:val="21"/>
                <w:highlight w:val="none"/>
              </w:rPr>
              <w:t>法定代表人或其委托代理人：</w:t>
            </w:r>
          </w:p>
          <w:p w14:paraId="41520BBD">
            <w:pPr>
              <w:pageBreakBefore w:val="0"/>
              <w:shd w:val="clear"/>
              <w:wordWrap/>
              <w:bidi w:val="0"/>
              <w:adjustRightInd w:val="0"/>
              <w:snapToGrid w:val="0"/>
              <w:spacing w:beforeAutospacing="0" w:afterAutospacing="0" w:line="568" w:lineRule="exact"/>
              <w:jc w:val="left"/>
              <w:rPr>
                <w:rFonts w:ascii="仿宋" w:hAnsi="仿宋" w:eastAsia="仿宋"/>
                <w:color w:val="auto"/>
                <w:sz w:val="21"/>
                <w:szCs w:val="21"/>
                <w:highlight w:val="none"/>
                <w:u w:val="single"/>
              </w:rPr>
            </w:pPr>
            <w:r>
              <w:rPr>
                <w:rFonts w:hint="eastAsia" w:ascii="仿宋" w:hAnsi="仿宋" w:eastAsia="仿宋"/>
                <w:color w:val="auto"/>
                <w:sz w:val="21"/>
                <w:szCs w:val="21"/>
                <w:highlight w:val="none"/>
              </w:rPr>
              <w:t>（签字）</w:t>
            </w:r>
            <w:r>
              <w:rPr>
                <w:rFonts w:hint="eastAsia" w:ascii="仿宋" w:hAnsi="仿宋" w:eastAsia="仿宋"/>
                <w:color w:val="auto"/>
                <w:sz w:val="21"/>
                <w:szCs w:val="21"/>
                <w:highlight w:val="none"/>
                <w:u w:val="single"/>
              </w:rPr>
              <w:t xml:space="preserve">              </w:t>
            </w:r>
          </w:p>
        </w:tc>
      </w:tr>
      <w:tr w14:paraId="64589017">
        <w:tblPrEx>
          <w:tblCellMar>
            <w:top w:w="0" w:type="dxa"/>
            <w:left w:w="108" w:type="dxa"/>
            <w:bottom w:w="0" w:type="dxa"/>
            <w:right w:w="108" w:type="dxa"/>
          </w:tblCellMar>
        </w:tblPrEx>
        <w:trPr>
          <w:trHeight w:val="2370" w:hRule="atLeast"/>
        </w:trPr>
        <w:tc>
          <w:tcPr>
            <w:tcW w:w="4587" w:type="dxa"/>
            <w:noWrap w:val="0"/>
            <w:vAlign w:val="top"/>
          </w:tcPr>
          <w:p w14:paraId="3E728173">
            <w:pPr>
              <w:pageBreakBefore w:val="0"/>
              <w:shd w:val="clear"/>
              <w:wordWrap/>
              <w:bidi w:val="0"/>
              <w:adjustRightInd w:val="0"/>
              <w:snapToGrid w:val="0"/>
              <w:spacing w:beforeAutospacing="0" w:afterAutospacing="0" w:line="568" w:lineRule="exact"/>
              <w:jc w:val="left"/>
              <w:rPr>
                <w:rFonts w:hint="eastAsia" w:ascii="仿宋" w:hAnsi="仿宋" w:eastAsia="仿宋"/>
                <w:color w:val="auto"/>
                <w:sz w:val="21"/>
                <w:szCs w:val="21"/>
                <w:highlight w:val="none"/>
                <w:u w:val="single"/>
              </w:rPr>
            </w:pPr>
            <w:r>
              <w:rPr>
                <w:rFonts w:hint="eastAsia" w:ascii="仿宋" w:hAnsi="仿宋" w:eastAsia="仿宋"/>
                <w:color w:val="auto"/>
                <w:sz w:val="21"/>
                <w:szCs w:val="21"/>
                <w:highlight w:val="none"/>
              </w:rPr>
              <w:t>统一社会信用代码：</w:t>
            </w:r>
            <w:r>
              <w:rPr>
                <w:rFonts w:hint="eastAsia" w:ascii="仿宋" w:hAnsi="仿宋" w:eastAsia="仿宋"/>
                <w:color w:val="auto"/>
                <w:sz w:val="21"/>
                <w:szCs w:val="21"/>
                <w:highlight w:val="none"/>
                <w:u w:val="single"/>
              </w:rPr>
              <w:t>91430100673574922G</w:t>
            </w:r>
          </w:p>
          <w:p w14:paraId="68451AEB">
            <w:pPr>
              <w:pageBreakBefore w:val="0"/>
              <w:shd w:val="clear"/>
              <w:wordWrap/>
              <w:bidi w:val="0"/>
              <w:adjustRightInd w:val="0"/>
              <w:snapToGrid w:val="0"/>
              <w:spacing w:beforeAutospacing="0" w:afterAutospacing="0" w:line="568" w:lineRule="exact"/>
              <w:jc w:val="left"/>
              <w:rPr>
                <w:rFonts w:hint="eastAsia" w:ascii="仿宋" w:hAnsi="仿宋" w:eastAsia="仿宋"/>
                <w:color w:val="auto"/>
                <w:sz w:val="21"/>
                <w:szCs w:val="21"/>
                <w:highlight w:val="none"/>
              </w:rPr>
            </w:pPr>
            <w:r>
              <w:rPr>
                <w:rFonts w:hint="eastAsia" w:ascii="仿宋" w:hAnsi="仿宋" w:eastAsia="仿宋"/>
                <w:color w:val="auto"/>
                <w:sz w:val="21"/>
                <w:szCs w:val="21"/>
                <w:highlight w:val="none"/>
              </w:rPr>
              <w:t>地址：</w:t>
            </w:r>
            <w:r>
              <w:rPr>
                <w:rFonts w:hint="eastAsia" w:ascii="仿宋" w:hAnsi="仿宋" w:eastAsia="仿宋"/>
                <w:color w:val="auto"/>
                <w:sz w:val="21"/>
                <w:szCs w:val="21"/>
                <w:highlight w:val="none"/>
                <w:u w:val="single"/>
              </w:rPr>
              <w:t>长沙市芙蓉区浏阳河大道588号红橡华园1栋170</w:t>
            </w:r>
            <w:r>
              <w:rPr>
                <w:rFonts w:hint="eastAsia" w:ascii="仿宋" w:hAnsi="仿宋" w:eastAsia="仿宋"/>
                <w:color w:val="auto"/>
                <w:sz w:val="21"/>
                <w:szCs w:val="21"/>
                <w:highlight w:val="none"/>
                <w:u w:val="single"/>
                <w:lang w:val="en-US" w:eastAsia="zh-CN"/>
              </w:rPr>
              <w:t>1</w:t>
            </w:r>
            <w:r>
              <w:rPr>
                <w:rFonts w:hint="eastAsia" w:ascii="仿宋" w:hAnsi="仿宋" w:eastAsia="仿宋"/>
                <w:color w:val="auto"/>
                <w:sz w:val="21"/>
                <w:szCs w:val="21"/>
                <w:highlight w:val="none"/>
                <w:u w:val="single"/>
              </w:rPr>
              <w:t>房</w:t>
            </w:r>
          </w:p>
          <w:p w14:paraId="1684C7F1">
            <w:pPr>
              <w:pageBreakBefore w:val="0"/>
              <w:shd w:val="clear"/>
              <w:wordWrap/>
              <w:bidi w:val="0"/>
              <w:adjustRightInd w:val="0"/>
              <w:snapToGrid w:val="0"/>
              <w:spacing w:beforeAutospacing="0" w:afterAutospacing="0" w:line="568" w:lineRule="exact"/>
              <w:jc w:val="left"/>
              <w:rPr>
                <w:rFonts w:ascii="仿宋" w:hAnsi="仿宋" w:eastAsia="仿宋"/>
                <w:color w:val="auto"/>
                <w:sz w:val="21"/>
                <w:szCs w:val="21"/>
                <w:highlight w:val="none"/>
              </w:rPr>
            </w:pPr>
            <w:r>
              <w:rPr>
                <w:rFonts w:hint="eastAsia" w:ascii="仿宋" w:hAnsi="仿宋" w:eastAsia="仿宋"/>
                <w:color w:val="auto"/>
                <w:sz w:val="21"/>
                <w:szCs w:val="21"/>
                <w:highlight w:val="none"/>
              </w:rPr>
              <w:t xml:space="preserve">电话： </w:t>
            </w:r>
            <w:r>
              <w:rPr>
                <w:rFonts w:hint="eastAsia" w:ascii="仿宋" w:hAnsi="仿宋" w:eastAsia="仿宋"/>
                <w:color w:val="auto"/>
                <w:sz w:val="21"/>
                <w:szCs w:val="21"/>
                <w:highlight w:val="none"/>
                <w:u w:val="single"/>
              </w:rPr>
              <w:t>0731-82193182</w:t>
            </w:r>
          </w:p>
        </w:tc>
        <w:tc>
          <w:tcPr>
            <w:tcW w:w="4735" w:type="dxa"/>
            <w:noWrap w:val="0"/>
            <w:vAlign w:val="top"/>
          </w:tcPr>
          <w:p w14:paraId="0EA719C1">
            <w:pPr>
              <w:pageBreakBefore w:val="0"/>
              <w:shd w:val="clear"/>
              <w:wordWrap/>
              <w:bidi w:val="0"/>
              <w:adjustRightInd w:val="0"/>
              <w:snapToGrid w:val="0"/>
              <w:spacing w:beforeAutospacing="0" w:afterAutospacing="0" w:line="568" w:lineRule="exact"/>
              <w:jc w:val="left"/>
              <w:rPr>
                <w:rFonts w:hint="eastAsia" w:ascii="仿宋" w:hAnsi="仿宋" w:eastAsia="仿宋"/>
                <w:color w:val="auto"/>
                <w:sz w:val="21"/>
                <w:szCs w:val="21"/>
                <w:highlight w:val="none"/>
              </w:rPr>
            </w:pPr>
            <w:r>
              <w:rPr>
                <w:rFonts w:hint="eastAsia" w:ascii="仿宋" w:hAnsi="仿宋" w:eastAsia="仿宋"/>
                <w:color w:val="auto"/>
                <w:sz w:val="21"/>
                <w:szCs w:val="21"/>
                <w:highlight w:val="none"/>
              </w:rPr>
              <w:t>统一社会信用代码：</w:t>
            </w:r>
          </w:p>
          <w:p w14:paraId="4DC02F11">
            <w:pPr>
              <w:pageBreakBefore w:val="0"/>
              <w:shd w:val="clear"/>
              <w:wordWrap/>
              <w:bidi w:val="0"/>
              <w:adjustRightInd w:val="0"/>
              <w:snapToGrid w:val="0"/>
              <w:spacing w:beforeAutospacing="0" w:afterAutospacing="0" w:line="568" w:lineRule="exact"/>
              <w:jc w:val="left"/>
              <w:rPr>
                <w:rFonts w:hint="default" w:ascii="仿宋" w:hAnsi="仿宋" w:eastAsia="仿宋"/>
                <w:color w:val="auto"/>
                <w:sz w:val="21"/>
                <w:szCs w:val="21"/>
                <w:highlight w:val="none"/>
                <w:u w:val="single"/>
                <w:lang w:val="en-US" w:eastAsia="zh-CN"/>
              </w:rPr>
            </w:pPr>
            <w:r>
              <w:rPr>
                <w:rFonts w:hint="eastAsia" w:ascii="仿宋" w:hAnsi="仿宋" w:eastAsia="仿宋" w:cs="Times New Roman"/>
                <w:color w:val="auto"/>
                <w:sz w:val="21"/>
                <w:szCs w:val="21"/>
                <w:highlight w:val="none"/>
                <w:u w:val="single"/>
                <w:lang w:val="en-US" w:eastAsia="zh-CN"/>
              </w:rPr>
              <w:t xml:space="preserve">   </w:t>
            </w:r>
            <w:r>
              <w:rPr>
                <w:rFonts w:hint="eastAsia" w:ascii="仿宋" w:hAnsi="仿宋" w:eastAsia="仿宋"/>
                <w:color w:val="auto"/>
                <w:sz w:val="21"/>
                <w:szCs w:val="21"/>
                <w:highlight w:val="none"/>
                <w:u w:val="single"/>
                <w:lang w:val="en-US" w:eastAsia="zh-CN"/>
              </w:rPr>
              <w:t xml:space="preserve">    </w:t>
            </w:r>
          </w:p>
          <w:p w14:paraId="0A650C1D">
            <w:pPr>
              <w:pageBreakBefore w:val="0"/>
              <w:shd w:val="clear"/>
              <w:wordWrap/>
              <w:bidi w:val="0"/>
              <w:adjustRightInd w:val="0"/>
              <w:snapToGrid w:val="0"/>
              <w:spacing w:beforeAutospacing="0" w:afterAutospacing="0" w:line="568" w:lineRule="exact"/>
              <w:jc w:val="left"/>
              <w:rPr>
                <w:rFonts w:hint="default" w:ascii="仿宋" w:hAnsi="仿宋" w:eastAsia="仿宋"/>
                <w:color w:val="auto"/>
                <w:sz w:val="21"/>
                <w:szCs w:val="21"/>
                <w:highlight w:val="none"/>
                <w:u w:val="single"/>
                <w:lang w:val="en-US" w:eastAsia="zh-CN"/>
              </w:rPr>
            </w:pPr>
            <w:r>
              <w:rPr>
                <w:rFonts w:hint="eastAsia" w:ascii="仿宋" w:hAnsi="仿宋" w:eastAsia="仿宋"/>
                <w:color w:val="auto"/>
                <w:sz w:val="21"/>
                <w:szCs w:val="21"/>
                <w:highlight w:val="none"/>
              </w:rPr>
              <w:t>地址：</w:t>
            </w:r>
            <w:r>
              <w:rPr>
                <w:rFonts w:hint="eastAsia" w:ascii="仿宋" w:hAnsi="仿宋" w:eastAsia="仿宋"/>
                <w:color w:val="auto"/>
                <w:sz w:val="21"/>
                <w:szCs w:val="21"/>
                <w:highlight w:val="none"/>
                <w:u w:val="single"/>
                <w:lang w:val="en-US" w:eastAsia="zh-CN"/>
              </w:rPr>
              <w:t xml:space="preserve"> </w:t>
            </w:r>
            <w:r>
              <w:rPr>
                <w:rFonts w:hint="eastAsia" w:ascii="仿宋" w:hAnsi="仿宋" w:eastAsia="仿宋" w:cs="Times New Roman"/>
                <w:color w:val="auto"/>
                <w:sz w:val="21"/>
                <w:szCs w:val="21"/>
                <w:highlight w:val="none"/>
                <w:u w:val="single"/>
                <w:lang w:val="en-US" w:eastAsia="zh-CN"/>
              </w:rPr>
              <w:t xml:space="preserve"> </w:t>
            </w:r>
            <w:r>
              <w:rPr>
                <w:rFonts w:hint="eastAsia" w:ascii="仿宋" w:hAnsi="仿宋" w:eastAsia="仿宋"/>
                <w:color w:val="auto"/>
                <w:sz w:val="21"/>
                <w:szCs w:val="21"/>
                <w:highlight w:val="none"/>
                <w:u w:val="single"/>
                <w:lang w:val="en-US" w:eastAsia="zh-CN"/>
              </w:rPr>
              <w:t xml:space="preserve">     </w:t>
            </w:r>
          </w:p>
          <w:p w14:paraId="57AE89D5">
            <w:pPr>
              <w:pageBreakBefore w:val="0"/>
              <w:shd w:val="clear"/>
              <w:wordWrap/>
              <w:bidi w:val="0"/>
              <w:adjustRightInd w:val="0"/>
              <w:snapToGrid w:val="0"/>
              <w:spacing w:beforeAutospacing="0" w:afterAutospacing="0" w:line="568" w:lineRule="exact"/>
              <w:jc w:val="left"/>
              <w:rPr>
                <w:rFonts w:hint="default" w:ascii="仿宋" w:hAnsi="仿宋" w:eastAsia="仿宋"/>
                <w:color w:val="auto"/>
                <w:sz w:val="21"/>
                <w:szCs w:val="21"/>
                <w:highlight w:val="none"/>
                <w:lang w:val="en-US"/>
              </w:rPr>
            </w:pPr>
            <w:r>
              <w:rPr>
                <w:rFonts w:hint="eastAsia" w:ascii="仿宋" w:hAnsi="仿宋" w:eastAsia="仿宋"/>
                <w:color w:val="auto"/>
                <w:sz w:val="21"/>
                <w:szCs w:val="21"/>
                <w:highlight w:val="none"/>
              </w:rPr>
              <w:t>电话：</w:t>
            </w:r>
            <w:r>
              <w:rPr>
                <w:rFonts w:hint="eastAsia" w:ascii="仿宋" w:hAnsi="仿宋" w:eastAsia="仿宋"/>
                <w:color w:val="auto"/>
                <w:sz w:val="21"/>
                <w:szCs w:val="21"/>
                <w:highlight w:val="none"/>
                <w:u w:val="single"/>
              </w:rPr>
              <w:t xml:space="preserve"> </w:t>
            </w:r>
            <w:r>
              <w:rPr>
                <w:rFonts w:hint="eastAsia" w:ascii="仿宋" w:hAnsi="仿宋" w:eastAsia="仿宋"/>
                <w:color w:val="auto"/>
                <w:sz w:val="21"/>
                <w:szCs w:val="21"/>
                <w:highlight w:val="none"/>
                <w:u w:val="single"/>
                <w:lang w:val="en-US" w:eastAsia="zh-CN"/>
              </w:rPr>
              <w:t xml:space="preserve"> </w:t>
            </w:r>
            <w:r>
              <w:rPr>
                <w:rFonts w:hint="eastAsia" w:ascii="仿宋" w:hAnsi="仿宋" w:eastAsia="仿宋" w:cs="Times New Roman"/>
                <w:color w:val="auto"/>
                <w:sz w:val="21"/>
                <w:szCs w:val="21"/>
                <w:highlight w:val="none"/>
                <w:u w:val="single"/>
                <w:lang w:val="en-US" w:eastAsia="zh-CN"/>
              </w:rPr>
              <w:t xml:space="preserve">      </w:t>
            </w:r>
          </w:p>
          <w:p w14:paraId="1233E634">
            <w:pPr>
              <w:pageBreakBefore w:val="0"/>
              <w:shd w:val="clear"/>
              <w:wordWrap/>
              <w:bidi w:val="0"/>
              <w:adjustRightInd w:val="0"/>
              <w:snapToGrid w:val="0"/>
              <w:spacing w:beforeAutospacing="0" w:afterAutospacing="0" w:line="568" w:lineRule="exact"/>
              <w:jc w:val="left"/>
              <w:rPr>
                <w:rFonts w:ascii="仿宋" w:hAnsi="仿宋" w:eastAsia="仿宋"/>
                <w:color w:val="auto"/>
                <w:sz w:val="21"/>
                <w:szCs w:val="21"/>
                <w:highlight w:val="none"/>
                <w:u w:val="single"/>
              </w:rPr>
            </w:pPr>
          </w:p>
        </w:tc>
      </w:tr>
    </w:tbl>
    <w:p w14:paraId="69613F39">
      <w:pPr>
        <w:pageBreakBefore w:val="0"/>
        <w:shd w:val="clear"/>
        <w:bidi w:val="0"/>
        <w:adjustRightInd w:val="0"/>
        <w:snapToGrid w:val="0"/>
        <w:spacing w:beforeAutospacing="0" w:afterAutospacing="0" w:line="568" w:lineRule="exact"/>
        <w:rPr>
          <w:rFonts w:ascii="仿宋_GB2312" w:eastAsia="仿宋_GB2312"/>
          <w:b/>
          <w:bCs/>
          <w:color w:val="auto"/>
          <w:kern w:val="0"/>
          <w:sz w:val="24"/>
          <w:highlight w:val="none"/>
        </w:rPr>
        <w:sectPr>
          <w:footerReference r:id="rId8" w:type="default"/>
          <w:pgSz w:w="11906" w:h="16838"/>
          <w:pgMar w:top="1440" w:right="1803" w:bottom="1440" w:left="1803" w:header="720" w:footer="720" w:gutter="0"/>
          <w:pgNumType w:start="1"/>
          <w:cols w:space="720" w:num="1"/>
          <w:docGrid w:type="lines" w:linePitch="326" w:charSpace="0"/>
        </w:sectPr>
      </w:pPr>
      <w:r>
        <w:rPr>
          <w:rFonts w:hint="eastAsia" w:ascii="仿宋" w:hAnsi="仿宋" w:eastAsia="仿宋" w:cs="仿宋"/>
          <w:color w:val="auto"/>
          <w:sz w:val="24"/>
          <w:highlight w:val="none"/>
        </w:rPr>
        <w:br w:type="page"/>
      </w:r>
    </w:p>
    <w:p w14:paraId="181DAF27">
      <w:pPr>
        <w:pStyle w:val="8"/>
        <w:pageBreakBefore w:val="0"/>
        <w:numPr>
          <w:ilvl w:val="0"/>
          <w:numId w:val="1"/>
        </w:numPr>
        <w:shd w:val="clear"/>
        <w:bidi w:val="0"/>
        <w:adjustRightInd w:val="0"/>
        <w:snapToGrid w:val="0"/>
        <w:spacing w:beforeAutospacing="0" w:afterAutospacing="0" w:line="568" w:lineRule="exact"/>
        <w:jc w:val="center"/>
        <w:rPr>
          <w:rFonts w:hint="eastAsia" w:ascii="黑体" w:hAnsi="黑体" w:eastAsia="黑体" w:cs="黑体"/>
          <w:color w:val="auto"/>
          <w:sz w:val="44"/>
          <w:szCs w:val="44"/>
          <w:highlight w:val="none"/>
        </w:rPr>
      </w:pPr>
      <w:bookmarkStart w:id="18" w:name="_Toc351203494"/>
      <w:bookmarkStart w:id="19" w:name="_Toc37169015"/>
      <w:r>
        <w:rPr>
          <w:rFonts w:hint="eastAsia" w:ascii="黑体" w:hAnsi="黑体" w:eastAsia="黑体" w:cs="黑体"/>
          <w:color w:val="auto"/>
          <w:sz w:val="44"/>
          <w:szCs w:val="44"/>
          <w:highlight w:val="none"/>
        </w:rPr>
        <w:t>通用合同条款</w:t>
      </w:r>
    </w:p>
    <w:p w14:paraId="53E407E5">
      <w:pPr>
        <w:numPr>
          <w:ilvl w:val="0"/>
          <w:numId w:val="0"/>
        </w:numPr>
        <w:ind w:firstLine="4518" w:firstLineChars="1500"/>
        <w:rPr>
          <w:rFonts w:hint="eastAsia"/>
          <w:b/>
          <w:bCs/>
          <w:color w:val="auto"/>
          <w:sz w:val="30"/>
          <w:szCs w:val="30"/>
          <w:highlight w:val="none"/>
        </w:rPr>
      </w:pPr>
      <w:r>
        <w:rPr>
          <w:rFonts w:hint="eastAsia"/>
          <w:b/>
          <w:bCs/>
          <w:color w:val="auto"/>
          <w:sz w:val="30"/>
          <w:szCs w:val="30"/>
          <w:highlight w:val="none"/>
          <w:lang w:eastAsia="zh-CN"/>
        </w:rPr>
        <w:t>（</w:t>
      </w:r>
      <w:r>
        <w:rPr>
          <w:rFonts w:hint="eastAsia"/>
          <w:b/>
          <w:bCs/>
          <w:color w:val="auto"/>
          <w:sz w:val="30"/>
          <w:szCs w:val="30"/>
          <w:highlight w:val="none"/>
          <w:lang w:val="en-US" w:eastAsia="zh-CN"/>
        </w:rPr>
        <w:t>略</w:t>
      </w:r>
      <w:r>
        <w:rPr>
          <w:rFonts w:hint="eastAsia"/>
          <w:b/>
          <w:bCs/>
          <w:color w:val="auto"/>
          <w:sz w:val="30"/>
          <w:szCs w:val="30"/>
          <w:highlight w:val="none"/>
          <w:lang w:eastAsia="zh-CN"/>
        </w:rPr>
        <w:t>）</w:t>
      </w:r>
    </w:p>
    <w:bookmarkEnd w:id="18"/>
    <w:p w14:paraId="339BFECF">
      <w:pPr>
        <w:pageBreakBefore w:val="0"/>
        <w:shd w:val="clear"/>
        <w:bidi w:val="0"/>
        <w:adjustRightInd w:val="0"/>
        <w:snapToGrid w:val="0"/>
        <w:spacing w:beforeAutospacing="0" w:afterAutospacing="0" w:line="568" w:lineRule="exact"/>
        <w:jc w:val="center"/>
        <w:rPr>
          <w:rFonts w:hint="eastAsia"/>
          <w:color w:val="auto"/>
          <w:highlight w:val="none"/>
        </w:rPr>
      </w:pPr>
      <w:r>
        <w:rPr>
          <w:rFonts w:hint="eastAsia" w:ascii="方正小标宋简体" w:hAnsi="方正小标宋简体" w:eastAsia="方正小标宋简体" w:cs="方正小标宋简体"/>
          <w:b w:val="0"/>
          <w:bCs w:val="0"/>
          <w:color w:val="auto"/>
          <w:sz w:val="44"/>
          <w:szCs w:val="44"/>
          <w:highlight w:val="none"/>
        </w:rPr>
        <w:br w:type="page"/>
      </w:r>
    </w:p>
    <w:p w14:paraId="03E34AC4">
      <w:pPr>
        <w:pStyle w:val="8"/>
        <w:pageBreakBefore w:val="0"/>
        <w:shd w:val="clear"/>
        <w:bidi w:val="0"/>
        <w:adjustRightInd w:val="0"/>
        <w:snapToGrid w:val="0"/>
        <w:spacing w:beforeAutospacing="0" w:afterAutospacing="0" w:line="568" w:lineRule="exact"/>
        <w:jc w:val="center"/>
        <w:rPr>
          <w:rFonts w:hint="eastAsia" w:ascii="黑体" w:hAnsi="黑体" w:eastAsia="黑体" w:cs="黑体"/>
          <w:b/>
          <w:bCs/>
          <w:color w:val="auto"/>
          <w:sz w:val="44"/>
          <w:szCs w:val="44"/>
          <w:highlight w:val="none"/>
        </w:rPr>
      </w:pPr>
      <w:r>
        <w:rPr>
          <w:rFonts w:hint="eastAsia" w:ascii="黑体" w:hAnsi="黑体" w:eastAsia="黑体" w:cs="黑体"/>
          <w:b/>
          <w:bCs/>
          <w:color w:val="auto"/>
          <w:sz w:val="44"/>
          <w:szCs w:val="44"/>
          <w:highlight w:val="none"/>
        </w:rPr>
        <w:t>第</w:t>
      </w:r>
      <w:r>
        <w:rPr>
          <w:rFonts w:hint="eastAsia" w:ascii="黑体" w:hAnsi="黑体" w:eastAsia="黑体" w:cs="黑体"/>
          <w:b/>
          <w:bCs/>
          <w:color w:val="auto"/>
          <w:sz w:val="44"/>
          <w:szCs w:val="44"/>
          <w:highlight w:val="none"/>
          <w:lang w:eastAsia="zh-CN"/>
        </w:rPr>
        <w:t>三</w:t>
      </w:r>
      <w:r>
        <w:rPr>
          <w:rFonts w:hint="eastAsia" w:ascii="黑体" w:hAnsi="黑体" w:eastAsia="黑体" w:cs="黑体"/>
          <w:b/>
          <w:bCs/>
          <w:color w:val="auto"/>
          <w:sz w:val="44"/>
          <w:szCs w:val="44"/>
          <w:highlight w:val="none"/>
        </w:rPr>
        <w:t>部分 专用合同条款</w:t>
      </w:r>
      <w:bookmarkEnd w:id="19"/>
    </w:p>
    <w:p w14:paraId="3A7AE2D7">
      <w:pPr>
        <w:pStyle w:val="9"/>
        <w:pageBreakBefore w:val="0"/>
        <w:shd w:val="clear"/>
        <w:bidi w:val="0"/>
        <w:adjustRightInd w:val="0"/>
        <w:snapToGrid w:val="0"/>
        <w:spacing w:beforeAutospacing="0" w:afterAutospacing="0" w:line="568" w:lineRule="exact"/>
        <w:ind w:firstLine="422" w:firstLineChars="200"/>
        <w:rPr>
          <w:rFonts w:ascii="仿宋" w:hAnsi="仿宋" w:eastAsia="仿宋" w:cs="仿宋"/>
          <w:bCs w:val="0"/>
          <w:color w:val="auto"/>
          <w:sz w:val="21"/>
          <w:szCs w:val="21"/>
          <w:highlight w:val="none"/>
        </w:rPr>
      </w:pPr>
      <w:bookmarkStart w:id="20" w:name="_Toc37169016"/>
      <w:r>
        <w:rPr>
          <w:rFonts w:ascii="仿宋" w:hAnsi="仿宋" w:eastAsia="仿宋" w:cs="仿宋"/>
          <w:bCs w:val="0"/>
          <w:color w:val="auto"/>
          <w:sz w:val="21"/>
          <w:szCs w:val="21"/>
          <w:highlight w:val="none"/>
        </w:rPr>
        <w:t>1.一般约定</w:t>
      </w:r>
      <w:bookmarkEnd w:id="20"/>
    </w:p>
    <w:p w14:paraId="6B0FF68A">
      <w:pPr>
        <w:pageBreakBefore w:val="0"/>
        <w:shd w:val="clear"/>
        <w:bidi w:val="0"/>
        <w:adjustRightInd w:val="0"/>
        <w:snapToGrid w:val="0"/>
        <w:spacing w:beforeAutospacing="0" w:afterAutospacing="0" w:line="568" w:lineRule="exact"/>
        <w:ind w:firstLine="480"/>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1.1词语定义与解释</w:t>
      </w:r>
    </w:p>
    <w:p w14:paraId="3A571595">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1.1.1合同</w:t>
      </w:r>
    </w:p>
    <w:p w14:paraId="568AD2BB">
      <w:pPr>
        <w:pStyle w:val="2"/>
        <w:pageBreakBefore w:val="0"/>
        <w:shd w:val="clear"/>
        <w:bidi w:val="0"/>
        <w:adjustRightInd w:val="0"/>
        <w:snapToGrid w:val="0"/>
        <w:spacing w:beforeAutospacing="0" w:afterAutospacing="0" w:line="568" w:lineRule="exact"/>
        <w:ind w:firstLine="600"/>
        <w:rPr>
          <w:rFonts w:hint="eastAsia" w:ascii="仿宋" w:hAnsi="仿宋" w:eastAsia="仿宋" w:cs="仿宋"/>
          <w:color w:val="auto"/>
          <w:sz w:val="21"/>
          <w:szCs w:val="21"/>
          <w:highlight w:val="none"/>
          <w:u w:val="single"/>
          <w:lang w:eastAsia="zh-CN"/>
        </w:rPr>
      </w:pPr>
      <w:r>
        <w:rPr>
          <w:rFonts w:hint="eastAsia" w:ascii="仿宋" w:hAnsi="仿宋" w:eastAsia="仿宋" w:cs="仿宋"/>
          <w:color w:val="auto"/>
          <w:sz w:val="21"/>
          <w:szCs w:val="21"/>
          <w:highlight w:val="none"/>
          <w:lang w:eastAsia="zh-CN"/>
        </w:rPr>
        <w:t>1.1.1.10其他合同文件包括：</w:t>
      </w:r>
      <w:r>
        <w:rPr>
          <w:rFonts w:hint="eastAsia" w:ascii="仿宋" w:hAnsi="仿宋" w:eastAsia="仿宋" w:cs="仿宋"/>
          <w:color w:val="auto"/>
          <w:sz w:val="21"/>
          <w:szCs w:val="21"/>
          <w:highlight w:val="none"/>
          <w:u w:val="single"/>
          <w:lang w:eastAsia="zh-CN"/>
        </w:rPr>
        <w:t>合同协议书、中标通知书、开标后发包人和承包人之间澄清问题的来往文件招标文件、投标函及其附录、专用合同条款及其附件、通用合同条款、技术标准和要求、图纸、已标价工程量清单或预算书以及其他合同文件。</w:t>
      </w:r>
    </w:p>
    <w:p w14:paraId="64EE70C0">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1.1.3工程和设备</w:t>
      </w:r>
    </w:p>
    <w:p w14:paraId="4393D23E">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1.1.3.7 作为施工现场组成部分的其他场所包括：</w:t>
      </w:r>
      <w:r>
        <w:rPr>
          <w:rFonts w:hint="eastAsia" w:ascii="仿宋" w:hAnsi="仿宋" w:eastAsia="仿宋" w:cs="仿宋"/>
          <w:color w:val="auto"/>
          <w:sz w:val="21"/>
          <w:szCs w:val="21"/>
          <w:highlight w:val="none"/>
          <w:u w:val="single"/>
        </w:rPr>
        <w:t>施工单位可以在红线范围内搭设临时设施，施工完毕后需及时拆除清理干净。</w:t>
      </w:r>
    </w:p>
    <w:p w14:paraId="6F458F00">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1.1.3.9 永久占地：</w:t>
      </w:r>
      <w:r>
        <w:rPr>
          <w:rFonts w:hint="eastAsia" w:ascii="仿宋" w:hAnsi="仿宋" w:eastAsia="仿宋" w:cs="仿宋"/>
          <w:color w:val="auto"/>
          <w:sz w:val="21"/>
          <w:szCs w:val="21"/>
          <w:highlight w:val="none"/>
          <w:u w:val="single"/>
          <w:lang w:val="en-US" w:eastAsia="zh-CN"/>
        </w:rPr>
        <w:t>/</w:t>
      </w:r>
      <w:r>
        <w:rPr>
          <w:rFonts w:hint="eastAsia" w:ascii="仿宋" w:hAnsi="仿宋" w:eastAsia="仿宋" w:cs="仿宋"/>
          <w:color w:val="auto"/>
          <w:sz w:val="21"/>
          <w:szCs w:val="21"/>
          <w:highlight w:val="none"/>
        </w:rPr>
        <w:t>。</w:t>
      </w:r>
    </w:p>
    <w:p w14:paraId="594917BA">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1.1.3.10临时占地：</w:t>
      </w:r>
      <w:r>
        <w:rPr>
          <w:rFonts w:hint="eastAsia" w:ascii="仿宋" w:hAnsi="仿宋" w:eastAsia="仿宋" w:cs="仿宋"/>
          <w:color w:val="auto"/>
          <w:sz w:val="21"/>
          <w:szCs w:val="21"/>
          <w:highlight w:val="none"/>
          <w:u w:val="single"/>
        </w:rPr>
        <w:t>在红线范围内按经审批的平面布置图搭设临时设施，施工完毕后需及时拆除清理干净</w:t>
      </w:r>
      <w:r>
        <w:rPr>
          <w:rFonts w:hint="eastAsia" w:ascii="仿宋" w:hAnsi="仿宋" w:eastAsia="仿宋" w:cs="仿宋"/>
          <w:color w:val="auto"/>
          <w:kern w:val="0"/>
          <w:sz w:val="21"/>
          <w:szCs w:val="21"/>
          <w:highlight w:val="none"/>
          <w:u w:val="single"/>
        </w:rPr>
        <w:t>。</w:t>
      </w:r>
    </w:p>
    <w:p w14:paraId="1835220A">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rPr>
      </w:pPr>
      <w:bookmarkStart w:id="21" w:name="_Toc20988_WPSOffice_Level3"/>
      <w:r>
        <w:rPr>
          <w:rFonts w:hint="eastAsia" w:ascii="仿宋" w:hAnsi="仿宋" w:eastAsia="仿宋" w:cs="仿宋"/>
          <w:color w:val="auto"/>
          <w:sz w:val="21"/>
          <w:szCs w:val="21"/>
          <w:highlight w:val="none"/>
        </w:rPr>
        <w:t>1.3法律</w:t>
      </w:r>
      <w:bookmarkEnd w:id="21"/>
    </w:p>
    <w:p w14:paraId="753BAE81">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适用于合同的其他规范性文件：</w:t>
      </w:r>
      <w:r>
        <w:rPr>
          <w:rFonts w:hint="eastAsia" w:ascii="仿宋" w:hAnsi="仿宋" w:eastAsia="仿宋" w:cs="仿宋"/>
          <w:color w:val="auto"/>
          <w:sz w:val="21"/>
          <w:szCs w:val="21"/>
          <w:highlight w:val="none"/>
          <w:u w:val="single"/>
        </w:rPr>
        <w:t>按通用条款执行</w:t>
      </w:r>
      <w:r>
        <w:rPr>
          <w:rFonts w:hint="eastAsia" w:ascii="仿宋" w:hAnsi="仿宋" w:eastAsia="仿宋" w:cs="仿宋"/>
          <w:color w:val="auto"/>
          <w:sz w:val="21"/>
          <w:szCs w:val="21"/>
          <w:highlight w:val="none"/>
        </w:rPr>
        <w:t>。</w:t>
      </w:r>
    </w:p>
    <w:p w14:paraId="355063A5">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rPr>
      </w:pPr>
      <w:bookmarkStart w:id="22" w:name="_Toc23379_WPSOffice_Level3"/>
      <w:r>
        <w:rPr>
          <w:rFonts w:hint="eastAsia" w:ascii="仿宋" w:hAnsi="仿宋" w:eastAsia="仿宋" w:cs="仿宋"/>
          <w:color w:val="auto"/>
          <w:sz w:val="21"/>
          <w:szCs w:val="21"/>
          <w:highlight w:val="none"/>
        </w:rPr>
        <w:t>1.4 标准和规范</w:t>
      </w:r>
      <w:bookmarkEnd w:id="22"/>
    </w:p>
    <w:p w14:paraId="03EA80C2">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1.4.1适用于工程的标准规范包括：</w:t>
      </w:r>
      <w:r>
        <w:rPr>
          <w:rFonts w:hint="eastAsia" w:ascii="仿宋" w:hAnsi="仿宋" w:eastAsia="仿宋" w:cs="仿宋"/>
          <w:color w:val="auto"/>
          <w:sz w:val="21"/>
          <w:szCs w:val="21"/>
          <w:highlight w:val="none"/>
          <w:u w:val="single"/>
        </w:rPr>
        <w:t>现行施工验收规范</w:t>
      </w:r>
      <w:r>
        <w:rPr>
          <w:rFonts w:hint="eastAsia" w:ascii="仿宋" w:hAnsi="仿宋" w:eastAsia="仿宋" w:cs="仿宋"/>
          <w:color w:val="auto"/>
          <w:sz w:val="21"/>
          <w:szCs w:val="21"/>
          <w:highlight w:val="none"/>
        </w:rPr>
        <w:t>。</w:t>
      </w:r>
    </w:p>
    <w:p w14:paraId="1E7BB446">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kern w:val="0"/>
          <w:sz w:val="21"/>
          <w:szCs w:val="21"/>
          <w:highlight w:val="none"/>
        </w:rPr>
      </w:pPr>
      <w:bookmarkStart w:id="23" w:name="_Toc13577"/>
      <w:bookmarkStart w:id="24" w:name="_Toc15918"/>
      <w:r>
        <w:rPr>
          <w:rFonts w:hint="eastAsia" w:ascii="仿宋" w:hAnsi="仿宋" w:eastAsia="仿宋" w:cs="仿宋"/>
          <w:color w:val="auto"/>
          <w:kern w:val="0"/>
          <w:sz w:val="21"/>
          <w:szCs w:val="21"/>
          <w:highlight w:val="none"/>
        </w:rPr>
        <w:t>1.4.2 发包人提供国外标准、规范的名称：</w:t>
      </w:r>
      <w:bookmarkEnd w:id="23"/>
      <w:bookmarkEnd w:id="24"/>
      <w:r>
        <w:rPr>
          <w:rFonts w:hint="eastAsia" w:ascii="仿宋" w:hAnsi="仿宋" w:eastAsia="仿宋" w:cs="仿宋"/>
          <w:color w:val="auto"/>
          <w:kern w:val="0"/>
          <w:sz w:val="21"/>
          <w:szCs w:val="21"/>
          <w:highlight w:val="none"/>
          <w:u w:val="single"/>
        </w:rPr>
        <w:t>无</w:t>
      </w:r>
      <w:r>
        <w:rPr>
          <w:rFonts w:hint="eastAsia" w:ascii="仿宋" w:hAnsi="仿宋" w:eastAsia="仿宋" w:cs="仿宋"/>
          <w:color w:val="auto"/>
          <w:kern w:val="0"/>
          <w:sz w:val="21"/>
          <w:szCs w:val="21"/>
          <w:highlight w:val="none"/>
        </w:rPr>
        <w:t>；</w:t>
      </w:r>
    </w:p>
    <w:p w14:paraId="39114EED">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1.4.3发包人对工程的技术标准和功能要求的特殊要求：</w:t>
      </w:r>
      <w:r>
        <w:rPr>
          <w:rFonts w:hint="eastAsia" w:ascii="仿宋" w:hAnsi="仿宋" w:eastAsia="仿宋" w:cs="仿宋"/>
          <w:color w:val="auto"/>
          <w:sz w:val="21"/>
          <w:szCs w:val="21"/>
          <w:highlight w:val="none"/>
          <w:u w:val="single"/>
        </w:rPr>
        <w:t>无</w:t>
      </w:r>
      <w:r>
        <w:rPr>
          <w:rFonts w:hint="eastAsia" w:ascii="仿宋" w:hAnsi="仿宋" w:eastAsia="仿宋" w:cs="仿宋"/>
          <w:color w:val="auto"/>
          <w:sz w:val="21"/>
          <w:szCs w:val="21"/>
          <w:highlight w:val="none"/>
        </w:rPr>
        <w:t>。</w:t>
      </w:r>
    </w:p>
    <w:p w14:paraId="006CB3E9">
      <w:pPr>
        <w:pageBreakBefore w:val="0"/>
        <w:shd w:val="clear"/>
        <w:bidi w:val="0"/>
        <w:adjustRightInd w:val="0"/>
        <w:snapToGrid w:val="0"/>
        <w:spacing w:beforeAutospacing="0" w:afterAutospacing="0" w:line="568" w:lineRule="exact"/>
        <w:ind w:firstLine="422" w:firstLineChars="200"/>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1.5合同文件的优先顺序</w:t>
      </w:r>
    </w:p>
    <w:p w14:paraId="794E316D">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组成合同的各项文件互相解释，互为说明。解释合同文件的优先顺序如下：</w:t>
      </w:r>
    </w:p>
    <w:p w14:paraId="68C5F6DF">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（1）补充协议（如有）；</w:t>
      </w:r>
    </w:p>
    <w:p w14:paraId="17D66F2E">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（2）合同协议书；</w:t>
      </w:r>
    </w:p>
    <w:p w14:paraId="162371A5">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（3）中标通知书（如有）；</w:t>
      </w:r>
    </w:p>
    <w:p w14:paraId="0AD08388">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（4）投标函及投标函附录（如有）；</w:t>
      </w:r>
    </w:p>
    <w:p w14:paraId="60438080">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（5）合同专用条款及其附件；</w:t>
      </w:r>
    </w:p>
    <w:p w14:paraId="1B5A5AD8">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（6）合同通用条款；</w:t>
      </w:r>
    </w:p>
    <w:p w14:paraId="3AA7C8D2">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（7）技术标准和要求；</w:t>
      </w:r>
    </w:p>
    <w:p w14:paraId="26B22927">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（8）图纸；</w:t>
      </w:r>
    </w:p>
    <w:p w14:paraId="5C425F20">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（9）已标价工程量清单</w:t>
      </w:r>
      <w:r>
        <w:rPr>
          <w:rFonts w:hint="eastAsia" w:ascii="仿宋" w:hAnsi="仿宋" w:eastAsia="仿宋" w:cs="仿宋"/>
          <w:color w:val="auto"/>
          <w:sz w:val="21"/>
          <w:szCs w:val="21"/>
          <w:highlight w:val="none"/>
          <w:lang w:eastAsia="zh-CN"/>
        </w:rPr>
        <w:t>。</w:t>
      </w:r>
    </w:p>
    <w:p w14:paraId="17938070">
      <w:pPr>
        <w:pageBreakBefore w:val="0"/>
        <w:shd w:val="clear"/>
        <w:bidi w:val="0"/>
        <w:adjustRightInd w:val="0"/>
        <w:snapToGrid w:val="0"/>
        <w:spacing w:beforeAutospacing="0" w:afterAutospacing="0" w:line="568" w:lineRule="exact"/>
        <w:ind w:firstLine="48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1.6图纸和承包人文件</w:t>
      </w:r>
    </w:p>
    <w:p w14:paraId="5087DEC9">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1.6.1图纸的提供和交底</w:t>
      </w:r>
    </w:p>
    <w:p w14:paraId="63E635C3">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发包人向承包人提供图纸的期限：</w:t>
      </w:r>
      <w:r>
        <w:rPr>
          <w:rFonts w:hint="eastAsia" w:ascii="仿宋" w:hAnsi="仿宋" w:eastAsia="仿宋" w:cs="仿宋"/>
          <w:color w:val="auto"/>
          <w:sz w:val="21"/>
          <w:szCs w:val="21"/>
          <w:highlight w:val="none"/>
          <w:u w:val="single"/>
          <w:lang w:eastAsia="zh-CN"/>
        </w:rPr>
        <w:t>合同签订后</w:t>
      </w:r>
      <w:r>
        <w:rPr>
          <w:rFonts w:hint="eastAsia" w:ascii="仿宋" w:hAnsi="仿宋" w:eastAsia="仿宋" w:cs="仿宋"/>
          <w:color w:val="auto"/>
          <w:sz w:val="21"/>
          <w:szCs w:val="21"/>
          <w:highlight w:val="none"/>
          <w:u w:val="single"/>
          <w:lang w:val="en-US" w:eastAsia="zh-CN"/>
        </w:rPr>
        <w:t>7日内</w:t>
      </w:r>
      <w:r>
        <w:rPr>
          <w:rFonts w:hint="eastAsia" w:ascii="仿宋" w:hAnsi="仿宋" w:eastAsia="仿宋" w:cs="仿宋"/>
          <w:color w:val="auto"/>
          <w:sz w:val="21"/>
          <w:szCs w:val="21"/>
          <w:highlight w:val="none"/>
        </w:rPr>
        <w:t>；</w:t>
      </w:r>
    </w:p>
    <w:p w14:paraId="3AFC3BEA">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发包人向承包人提供图纸的数量：</w:t>
      </w:r>
      <w:r>
        <w:rPr>
          <w:rFonts w:hint="eastAsia" w:ascii="仿宋" w:hAnsi="仿宋" w:eastAsia="仿宋" w:cs="仿宋"/>
          <w:color w:val="auto"/>
          <w:sz w:val="21"/>
          <w:szCs w:val="21"/>
          <w:highlight w:val="none"/>
          <w:u w:val="single"/>
        </w:rPr>
        <w:t>2套</w:t>
      </w:r>
      <w:r>
        <w:rPr>
          <w:rFonts w:hint="eastAsia" w:ascii="仿宋" w:hAnsi="仿宋" w:eastAsia="仿宋" w:cs="仿宋"/>
          <w:color w:val="auto"/>
          <w:sz w:val="21"/>
          <w:szCs w:val="21"/>
          <w:highlight w:val="none"/>
        </w:rPr>
        <w:t>；</w:t>
      </w:r>
    </w:p>
    <w:p w14:paraId="20E972D9">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发包人向承包人提供图纸的内容：</w:t>
      </w:r>
      <w:r>
        <w:rPr>
          <w:rFonts w:hint="eastAsia" w:ascii="仿宋" w:hAnsi="仿宋" w:eastAsia="仿宋" w:cs="仿宋"/>
          <w:color w:val="auto"/>
          <w:sz w:val="21"/>
          <w:szCs w:val="21"/>
          <w:highlight w:val="none"/>
          <w:u w:val="single"/>
          <w:lang w:eastAsia="zh-CN"/>
        </w:rPr>
        <w:t>全部施工</w:t>
      </w:r>
      <w:r>
        <w:rPr>
          <w:rFonts w:hint="eastAsia" w:ascii="仿宋" w:hAnsi="仿宋" w:eastAsia="仿宋" w:cs="仿宋"/>
          <w:color w:val="auto"/>
          <w:sz w:val="21"/>
          <w:szCs w:val="21"/>
          <w:highlight w:val="none"/>
          <w:u w:val="single"/>
        </w:rPr>
        <w:t>图纸</w:t>
      </w:r>
      <w:r>
        <w:rPr>
          <w:rFonts w:hint="eastAsia" w:ascii="仿宋" w:hAnsi="仿宋" w:eastAsia="仿宋" w:cs="仿宋"/>
          <w:color w:val="auto"/>
          <w:sz w:val="21"/>
          <w:szCs w:val="21"/>
          <w:highlight w:val="none"/>
        </w:rPr>
        <w:t>。</w:t>
      </w:r>
    </w:p>
    <w:p w14:paraId="1FA5C437">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1.6.4承包人文件 </w:t>
      </w:r>
    </w:p>
    <w:p w14:paraId="40DDDD45">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1.6.4.1承包人提供的技术资料</w:t>
      </w:r>
    </w:p>
    <w:p w14:paraId="3F7B660E">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需要由承包人提供的文件</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包括：</w:t>
      </w:r>
      <w:r>
        <w:rPr>
          <w:rFonts w:hint="eastAsia" w:ascii="仿宋" w:hAnsi="仿宋" w:eastAsia="仿宋" w:cs="仿宋"/>
          <w:color w:val="auto"/>
          <w:sz w:val="21"/>
          <w:szCs w:val="21"/>
          <w:highlight w:val="none"/>
          <w:u w:val="single"/>
        </w:rPr>
        <w:t>施工方案类（施工组织设计；专项安全施工方案；分部分项工程施工方案等）、计划报表类（工程进度计划；工程进展情况；人员、设备、材料到位情况等）、申请报告类（洽商变更申请；材料品牌报批；隐蔽工程验收申请；分部、分项工程验收申请；竣工验收申请；工程款支付申请、施工图预算、中间计量调整等）。</w:t>
      </w:r>
    </w:p>
    <w:p w14:paraId="141B4C89">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承包人提供的文件的期限为：</w:t>
      </w:r>
      <w:r>
        <w:rPr>
          <w:rFonts w:hint="eastAsia" w:ascii="仿宋" w:hAnsi="仿宋" w:eastAsia="仿宋" w:cs="仿宋"/>
          <w:color w:val="auto"/>
          <w:sz w:val="21"/>
          <w:szCs w:val="21"/>
          <w:highlight w:val="none"/>
          <w:u w:val="single"/>
        </w:rPr>
        <w:t>事项发生前（后）</w:t>
      </w:r>
      <w:r>
        <w:rPr>
          <w:rFonts w:hint="eastAsia" w:ascii="仿宋" w:hAnsi="仿宋" w:eastAsia="仿宋" w:cs="仿宋"/>
          <w:color w:val="auto"/>
          <w:sz w:val="21"/>
          <w:szCs w:val="21"/>
          <w:highlight w:val="none"/>
          <w:u w:val="single"/>
          <w:lang w:val="en-US" w:eastAsia="zh-CN"/>
        </w:rPr>
        <w:t>7</w:t>
      </w:r>
      <w:r>
        <w:rPr>
          <w:rFonts w:hint="eastAsia" w:ascii="仿宋" w:hAnsi="仿宋" w:eastAsia="仿宋" w:cs="仿宋"/>
          <w:color w:val="auto"/>
          <w:sz w:val="21"/>
          <w:szCs w:val="21"/>
          <w:highlight w:val="none"/>
          <w:u w:val="single"/>
        </w:rPr>
        <w:t>日内；</w:t>
      </w:r>
    </w:p>
    <w:p w14:paraId="21B39998">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承包人提供的文件的数量为：</w:t>
      </w:r>
      <w:r>
        <w:rPr>
          <w:rFonts w:hint="eastAsia" w:ascii="仿宋" w:hAnsi="仿宋" w:eastAsia="仿宋" w:cs="仿宋"/>
          <w:color w:val="auto"/>
          <w:sz w:val="21"/>
          <w:szCs w:val="21"/>
          <w:highlight w:val="none"/>
          <w:u w:val="single"/>
          <w:lang w:val="en-US" w:eastAsia="zh-CN"/>
        </w:rPr>
        <w:t>3</w:t>
      </w:r>
      <w:r>
        <w:rPr>
          <w:rFonts w:hint="eastAsia" w:ascii="仿宋" w:hAnsi="仿宋" w:eastAsia="仿宋" w:cs="仿宋"/>
          <w:color w:val="auto"/>
          <w:sz w:val="21"/>
          <w:szCs w:val="21"/>
          <w:highlight w:val="none"/>
          <w:u w:val="single"/>
        </w:rPr>
        <w:t>份；</w:t>
      </w:r>
    </w:p>
    <w:p w14:paraId="441D7247">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承包人提供的文件的形式为：</w:t>
      </w:r>
      <w:r>
        <w:rPr>
          <w:rFonts w:hint="eastAsia" w:ascii="仿宋" w:hAnsi="仿宋" w:eastAsia="仿宋" w:cs="仿宋"/>
          <w:color w:val="auto"/>
          <w:sz w:val="21"/>
          <w:szCs w:val="21"/>
          <w:highlight w:val="none"/>
          <w:u w:val="single"/>
          <w:lang w:eastAsia="zh-CN"/>
        </w:rPr>
        <w:t>纸质版、</w:t>
      </w:r>
      <w:r>
        <w:rPr>
          <w:rFonts w:hint="eastAsia" w:ascii="仿宋" w:hAnsi="仿宋" w:eastAsia="仿宋" w:cs="仿宋"/>
          <w:color w:val="auto"/>
          <w:sz w:val="21"/>
          <w:szCs w:val="21"/>
          <w:highlight w:val="none"/>
          <w:u w:val="single"/>
        </w:rPr>
        <w:t>电子版；</w:t>
      </w:r>
    </w:p>
    <w:p w14:paraId="141D5937">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发包人审批承包人文件的期限：</w:t>
      </w:r>
      <w:r>
        <w:rPr>
          <w:rFonts w:hint="eastAsia" w:ascii="仿宋" w:hAnsi="仿宋" w:eastAsia="仿宋" w:cs="仿宋"/>
          <w:color w:val="auto"/>
          <w:sz w:val="21"/>
          <w:szCs w:val="21"/>
          <w:highlight w:val="none"/>
          <w:u w:val="single"/>
        </w:rPr>
        <w:t>接收</w:t>
      </w:r>
      <w:r>
        <w:rPr>
          <w:rFonts w:hint="eastAsia" w:ascii="仿宋" w:hAnsi="仿宋" w:eastAsia="仿宋" w:cs="仿宋"/>
          <w:color w:val="auto"/>
          <w:sz w:val="21"/>
          <w:szCs w:val="21"/>
          <w:highlight w:val="none"/>
          <w:u w:val="single"/>
          <w:lang w:eastAsia="zh-CN"/>
        </w:rPr>
        <w:t>承包人</w:t>
      </w:r>
      <w:r>
        <w:rPr>
          <w:rFonts w:hint="eastAsia" w:ascii="仿宋" w:hAnsi="仿宋" w:eastAsia="仿宋" w:cs="仿宋"/>
          <w:color w:val="auto"/>
          <w:sz w:val="21"/>
          <w:szCs w:val="21"/>
          <w:highlight w:val="none"/>
          <w:u w:val="single"/>
        </w:rPr>
        <w:t>文件之日起</w:t>
      </w:r>
      <w:r>
        <w:rPr>
          <w:rFonts w:hint="eastAsia" w:ascii="仿宋" w:hAnsi="仿宋" w:eastAsia="仿宋" w:cs="仿宋"/>
          <w:color w:val="auto"/>
          <w:sz w:val="21"/>
          <w:szCs w:val="21"/>
          <w:highlight w:val="none"/>
          <w:u w:val="single"/>
          <w:lang w:val="en-US" w:eastAsia="zh-CN"/>
        </w:rPr>
        <w:t>7日</w:t>
      </w:r>
      <w:r>
        <w:rPr>
          <w:rFonts w:hint="eastAsia" w:ascii="仿宋" w:hAnsi="仿宋" w:eastAsia="仿宋" w:cs="仿宋"/>
          <w:color w:val="auto"/>
          <w:sz w:val="21"/>
          <w:szCs w:val="21"/>
          <w:highlight w:val="none"/>
          <w:u w:val="single"/>
        </w:rPr>
        <w:t>内</w:t>
      </w:r>
      <w:r>
        <w:rPr>
          <w:rFonts w:hint="eastAsia" w:ascii="仿宋" w:hAnsi="仿宋" w:eastAsia="仿宋" w:cs="仿宋"/>
          <w:color w:val="auto"/>
          <w:sz w:val="21"/>
          <w:szCs w:val="21"/>
          <w:highlight w:val="none"/>
          <w:u w:val="single"/>
          <w:lang w:eastAsia="zh-CN"/>
        </w:rPr>
        <w:t>审查完毕</w:t>
      </w:r>
      <w:r>
        <w:rPr>
          <w:rFonts w:hint="eastAsia" w:ascii="仿宋" w:hAnsi="仿宋" w:eastAsia="仿宋" w:cs="仿宋"/>
          <w:color w:val="auto"/>
          <w:sz w:val="21"/>
          <w:szCs w:val="21"/>
          <w:highlight w:val="none"/>
          <w:u w:val="single"/>
        </w:rPr>
        <w:t>。</w:t>
      </w:r>
    </w:p>
    <w:p w14:paraId="7DBCFAA3">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1.6.5 现场图纸准备</w:t>
      </w:r>
    </w:p>
    <w:p w14:paraId="64D007BD">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关于现场图纸准备的约定：</w:t>
      </w:r>
      <w:r>
        <w:rPr>
          <w:rFonts w:hint="eastAsia" w:ascii="仿宋" w:hAnsi="仿宋" w:eastAsia="仿宋" w:cs="仿宋"/>
          <w:color w:val="auto"/>
          <w:sz w:val="21"/>
          <w:szCs w:val="21"/>
          <w:highlight w:val="none"/>
          <w:u w:val="single"/>
        </w:rPr>
        <w:t>按通用条款执行。</w:t>
      </w:r>
    </w:p>
    <w:p w14:paraId="2A656F17">
      <w:pPr>
        <w:pageBreakBefore w:val="0"/>
        <w:shd w:val="clear"/>
        <w:bidi w:val="0"/>
        <w:adjustRightInd w:val="0"/>
        <w:snapToGrid w:val="0"/>
        <w:spacing w:beforeAutospacing="0" w:afterAutospacing="0" w:line="568" w:lineRule="exact"/>
        <w:ind w:firstLine="48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 xml:space="preserve">1.7 联络 </w:t>
      </w:r>
    </w:p>
    <w:p w14:paraId="43AE01C0">
      <w:pPr>
        <w:pageBreakBefore w:val="0"/>
        <w:shd w:val="clear"/>
        <w:bidi w:val="0"/>
        <w:adjustRightInd w:val="0"/>
        <w:snapToGrid w:val="0"/>
        <w:spacing w:beforeAutospacing="0" w:afterAutospacing="0" w:line="568" w:lineRule="exact"/>
        <w:ind w:firstLine="48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1.7.1 发包人和承包人应当在</w:t>
      </w: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u w:val="single"/>
          <w:lang w:eastAsia="zh-CN"/>
        </w:rPr>
        <w:t>事项发生前（后）</w:t>
      </w:r>
      <w:r>
        <w:rPr>
          <w:rFonts w:hint="eastAsia" w:ascii="仿宋" w:hAnsi="仿宋" w:eastAsia="仿宋" w:cs="仿宋"/>
          <w:b w:val="0"/>
          <w:bCs w:val="0"/>
          <w:color w:val="auto"/>
          <w:sz w:val="21"/>
          <w:szCs w:val="21"/>
          <w:highlight w:val="none"/>
          <w:u w:val="single"/>
          <w:lang w:val="en-US" w:eastAsia="zh-CN"/>
        </w:rPr>
        <w:t>7</w:t>
      </w: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rPr>
        <w:t>天内将与合同有关的通知、批准、证明、证书、指示、指令、要求、请求、同意、意见、确定和决定等书面函件送达对方当事人。</w:t>
      </w:r>
    </w:p>
    <w:p w14:paraId="2B093F30">
      <w:pPr>
        <w:pageBreakBefore w:val="0"/>
        <w:shd w:val="clear"/>
        <w:bidi w:val="0"/>
        <w:adjustRightInd w:val="0"/>
        <w:snapToGrid w:val="0"/>
        <w:spacing w:beforeAutospacing="0" w:afterAutospacing="0" w:line="568" w:lineRule="exact"/>
        <w:ind w:firstLine="48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rPr>
        <w:t>1.7.2 发包人接收文件的地点：</w:t>
      </w:r>
      <w:r>
        <w:rPr>
          <w:rFonts w:hint="eastAsia" w:ascii="仿宋" w:hAnsi="仿宋" w:eastAsia="仿宋" w:cs="仿宋"/>
          <w:b w:val="0"/>
          <w:bCs w:val="0"/>
          <w:color w:val="auto"/>
          <w:sz w:val="21"/>
          <w:szCs w:val="21"/>
          <w:highlight w:val="none"/>
          <w:lang w:eastAsia="zh-CN"/>
        </w:rPr>
        <w:t>施工项目现场。</w:t>
      </w:r>
    </w:p>
    <w:p w14:paraId="1B538EA5">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1.8严禁贿赂</w:t>
      </w:r>
    </w:p>
    <w:p w14:paraId="2AFF8C19">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在合同执行过程中，发包人和承包人应严格履行本合同附件《廉政合同》约定的双方在廉政建设方面的权利和义务以及应承担的违约责任。承包人如果用行贿、送礼或其他不正当手段企图影响或已经影响了发包人的行为，将可能获得或已经获得超出合同规定以外的额外费用，则发包人有权对前述超过合同规定的费用不予支付或主张承包人退还，并按有关规定严肃处理当事人，且承包人应对上述行为造成的工程损害、发包人的经济损失等承担一切责任，并予赔偿。情节严重者，发包人有权终止本合同。</w:t>
      </w:r>
    </w:p>
    <w:p w14:paraId="4D60F409">
      <w:pPr>
        <w:pageBreakBefore w:val="0"/>
        <w:shd w:val="clear"/>
        <w:bidi w:val="0"/>
        <w:adjustRightInd w:val="0"/>
        <w:snapToGrid w:val="0"/>
        <w:spacing w:beforeAutospacing="0" w:afterAutospacing="0" w:line="568" w:lineRule="exact"/>
        <w:ind w:firstLine="48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1.10交通运输</w:t>
      </w:r>
    </w:p>
    <w:p w14:paraId="74C8AF82">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1.10.1 出入现场的权利</w:t>
      </w:r>
    </w:p>
    <w:p w14:paraId="56BA534C">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关于出入现场的权利的约定：</w:t>
      </w:r>
    </w:p>
    <w:p w14:paraId="40ABFF56">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u w:val="single"/>
        </w:rPr>
        <w:t>承包人应根据合同工程的需要，负责取得出入施工场地的专用和临时道路的通行权，与工程相关的城管、渣土、环卫、市政交通等部门的手续由承包人自行办理，上述费用已包含在合同总价中。承包人还应自费提供其所需要的工地以外的供工程使用的任何附加设施。施工现场的安全、保卫及管理由承包人负责。承包人应有专人对出入现场进行管理。</w:t>
      </w:r>
    </w:p>
    <w:p w14:paraId="0A5AA69E">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u w:val="single"/>
        </w:rPr>
        <w:t>承包人为便于搬运工程的设备或临时设施应负责并自费加固任何桥梁或重修或改进任何与施工现场连接或通往现场的任何道路。承包人应保证发包人不承担由于搬运对道路或桥梁造成损坏的全部索赔，包括可能直接向发包人提出的索赔。如出现第三方向发包人索赔的情形，承包人应出面谈判，并由承包人承担因此引起的全部责任和支付全部索赔费用。</w:t>
      </w:r>
    </w:p>
    <w:p w14:paraId="2697952C">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1.10.3场内交通</w:t>
      </w:r>
    </w:p>
    <w:p w14:paraId="54B59F4C">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关于场外交通和场内交通的边界的约定：</w:t>
      </w:r>
      <w:r>
        <w:rPr>
          <w:rFonts w:hint="eastAsia" w:ascii="仿宋" w:hAnsi="仿宋" w:eastAsia="仿宋" w:cs="仿宋"/>
          <w:color w:val="auto"/>
          <w:sz w:val="21"/>
          <w:szCs w:val="21"/>
          <w:highlight w:val="none"/>
          <w:u w:val="single"/>
        </w:rPr>
        <w:t>红线范围50米以外的交通为场外交通。</w:t>
      </w:r>
    </w:p>
    <w:p w14:paraId="13EEBD40">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关于发包人向承包人免费提供满足工程施工需要的场内道路和交通设施的约定：</w:t>
      </w:r>
      <w:r>
        <w:rPr>
          <w:rFonts w:hint="eastAsia" w:ascii="仿宋" w:hAnsi="仿宋" w:eastAsia="仿宋" w:cs="仿宋"/>
          <w:color w:val="auto"/>
          <w:sz w:val="21"/>
          <w:szCs w:val="21"/>
          <w:highlight w:val="none"/>
          <w:u w:val="single"/>
        </w:rPr>
        <w:t>不提供，场内道路和交通设施修建、维修、养护和管理由承包人负责，费用已包含在合同总价中。</w:t>
      </w:r>
    </w:p>
    <w:p w14:paraId="4719B268">
      <w:pPr>
        <w:pageBreakBefore w:val="0"/>
        <w:shd w:val="clear"/>
        <w:bidi w:val="0"/>
        <w:adjustRightInd w:val="0"/>
        <w:snapToGrid w:val="0"/>
        <w:spacing w:beforeAutospacing="0" w:afterAutospacing="0" w:line="568" w:lineRule="exact"/>
        <w:ind w:firstLine="48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1.10.4 超大件和超重件的运输</w:t>
      </w:r>
    </w:p>
    <w:p w14:paraId="678E5A7F">
      <w:pPr>
        <w:pageBreakBefore w:val="0"/>
        <w:shd w:val="clear"/>
        <w:bidi w:val="0"/>
        <w:adjustRightInd w:val="0"/>
        <w:snapToGrid w:val="0"/>
        <w:spacing w:beforeAutospacing="0" w:afterAutospacing="0" w:line="568" w:lineRule="exact"/>
        <w:ind w:firstLine="48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运输超大件或超重件所需的道路和桥梁临时加固改造费用和其他有关费用由</w:t>
      </w:r>
      <w:r>
        <w:rPr>
          <w:rFonts w:hint="eastAsia" w:ascii="仿宋" w:hAnsi="仿宋" w:eastAsia="仿宋" w:cs="仿宋"/>
          <w:color w:val="auto"/>
          <w:sz w:val="21"/>
          <w:szCs w:val="21"/>
          <w:highlight w:val="none"/>
          <w:u w:val="single"/>
        </w:rPr>
        <w:t>承包人</w:t>
      </w:r>
      <w:r>
        <w:rPr>
          <w:rFonts w:hint="eastAsia" w:ascii="仿宋" w:hAnsi="仿宋" w:eastAsia="仿宋" w:cs="仿宋"/>
          <w:color w:val="auto"/>
          <w:sz w:val="21"/>
          <w:szCs w:val="21"/>
          <w:highlight w:val="none"/>
        </w:rPr>
        <w:t>承担。</w:t>
      </w:r>
    </w:p>
    <w:p w14:paraId="02D58CE7">
      <w:pPr>
        <w:pageBreakBefore w:val="0"/>
        <w:shd w:val="clear"/>
        <w:bidi w:val="0"/>
        <w:adjustRightInd w:val="0"/>
        <w:snapToGrid w:val="0"/>
        <w:spacing w:beforeAutospacing="0" w:afterAutospacing="0" w:line="568" w:lineRule="exact"/>
        <w:ind w:firstLine="480"/>
        <w:rPr>
          <w:rFonts w:hint="eastAsia" w:ascii="仿宋" w:hAnsi="仿宋" w:eastAsia="仿宋" w:cs="仿宋"/>
          <w:b/>
          <w:bCs/>
          <w:color w:val="auto"/>
          <w:sz w:val="21"/>
          <w:szCs w:val="21"/>
          <w:highlight w:val="none"/>
        </w:rPr>
      </w:pPr>
      <w:bookmarkStart w:id="25" w:name="_Toc9197_WPSOffice_Level3"/>
      <w:bookmarkStart w:id="26" w:name="_Toc26465"/>
      <w:bookmarkStart w:id="27" w:name="_Toc11321"/>
      <w:r>
        <w:rPr>
          <w:rFonts w:hint="eastAsia" w:ascii="仿宋" w:hAnsi="仿宋" w:eastAsia="仿宋" w:cs="仿宋"/>
          <w:b/>
          <w:bCs/>
          <w:color w:val="auto"/>
          <w:sz w:val="21"/>
          <w:szCs w:val="21"/>
          <w:highlight w:val="none"/>
        </w:rPr>
        <w:t>1.11 知识产权</w:t>
      </w:r>
      <w:bookmarkEnd w:id="25"/>
      <w:bookmarkEnd w:id="26"/>
      <w:bookmarkEnd w:id="27"/>
    </w:p>
    <w:p w14:paraId="7A310145">
      <w:pPr>
        <w:pageBreakBefore w:val="0"/>
        <w:shd w:val="clear"/>
        <w:bidi w:val="0"/>
        <w:adjustRightInd w:val="0"/>
        <w:snapToGrid w:val="0"/>
        <w:spacing w:beforeAutospacing="0" w:afterAutospacing="0" w:line="568" w:lineRule="exact"/>
        <w:ind w:firstLine="420" w:firstLineChars="200"/>
        <w:outlineLvl w:val="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1.11.1 </w:t>
      </w:r>
      <w:bookmarkStart w:id="28" w:name="_Toc22669"/>
      <w:bookmarkStart w:id="29" w:name="_Toc16646"/>
      <w:r>
        <w:rPr>
          <w:rFonts w:hint="eastAsia" w:ascii="仿宋" w:hAnsi="仿宋" w:eastAsia="仿宋" w:cs="仿宋"/>
          <w:color w:val="auto"/>
          <w:sz w:val="21"/>
          <w:szCs w:val="21"/>
          <w:highlight w:val="none"/>
        </w:rPr>
        <w:t>关于发包人提供给承包人的图纸、发包人为实施工程自行编制或委托编制的技术规范以及反映发包人关于合同要求或其他类似性质的文件的著作权的归属：</w:t>
      </w:r>
      <w:r>
        <w:rPr>
          <w:rFonts w:hint="eastAsia" w:ascii="仿宋" w:hAnsi="仿宋" w:eastAsia="仿宋" w:cs="仿宋"/>
          <w:color w:val="auto"/>
          <w:sz w:val="21"/>
          <w:szCs w:val="21"/>
          <w:highlight w:val="none"/>
          <w:u w:val="single"/>
        </w:rPr>
        <w:t>按通用条款执行。</w:t>
      </w:r>
    </w:p>
    <w:p w14:paraId="65B14F0D">
      <w:pPr>
        <w:pageBreakBefore w:val="0"/>
        <w:shd w:val="clear"/>
        <w:bidi w:val="0"/>
        <w:adjustRightInd w:val="0"/>
        <w:snapToGrid w:val="0"/>
        <w:spacing w:beforeAutospacing="0" w:afterAutospacing="0" w:line="568" w:lineRule="exact"/>
        <w:ind w:firstLine="420" w:firstLineChars="200"/>
        <w:outlineLvl w:val="0"/>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关于发包人提供的上述文件的使用限制的要求：</w:t>
      </w:r>
      <w:r>
        <w:rPr>
          <w:rFonts w:hint="eastAsia" w:ascii="仿宋" w:hAnsi="仿宋" w:eastAsia="仿宋" w:cs="仿宋"/>
          <w:color w:val="auto"/>
          <w:sz w:val="21"/>
          <w:szCs w:val="21"/>
          <w:highlight w:val="none"/>
          <w:u w:val="single"/>
        </w:rPr>
        <w:t>按通用条款执行。</w:t>
      </w:r>
    </w:p>
    <w:p w14:paraId="1F65F61E">
      <w:pPr>
        <w:pageBreakBefore w:val="0"/>
        <w:shd w:val="clear"/>
        <w:bidi w:val="0"/>
        <w:adjustRightInd w:val="0"/>
        <w:snapToGrid w:val="0"/>
        <w:spacing w:beforeAutospacing="0" w:afterAutospacing="0" w:line="568" w:lineRule="exact"/>
        <w:ind w:firstLine="420" w:firstLineChars="200"/>
        <w:outlineLvl w:val="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1.11.2 关于承包人为实施工程所编制文件的著作权的归属：</w:t>
      </w:r>
      <w:r>
        <w:rPr>
          <w:rFonts w:hint="eastAsia" w:ascii="仿宋" w:hAnsi="仿宋" w:eastAsia="仿宋" w:cs="仿宋"/>
          <w:color w:val="auto"/>
          <w:sz w:val="21"/>
          <w:szCs w:val="21"/>
          <w:highlight w:val="none"/>
          <w:u w:val="single"/>
        </w:rPr>
        <w:t>按通用条款执行。</w:t>
      </w:r>
    </w:p>
    <w:p w14:paraId="749B742C">
      <w:pPr>
        <w:pageBreakBefore w:val="0"/>
        <w:shd w:val="clear"/>
        <w:bidi w:val="0"/>
        <w:adjustRightInd w:val="0"/>
        <w:snapToGrid w:val="0"/>
        <w:spacing w:beforeAutospacing="0" w:afterAutospacing="0" w:line="568" w:lineRule="exact"/>
        <w:ind w:firstLine="420" w:firstLineChars="200"/>
        <w:outlineLvl w:val="0"/>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关于承包人提供的上述文件的使用限制的要求：</w:t>
      </w:r>
      <w:r>
        <w:rPr>
          <w:rFonts w:hint="eastAsia" w:ascii="仿宋" w:hAnsi="仿宋" w:eastAsia="仿宋" w:cs="仿宋"/>
          <w:color w:val="auto"/>
          <w:sz w:val="21"/>
          <w:szCs w:val="21"/>
          <w:highlight w:val="none"/>
          <w:u w:val="single"/>
        </w:rPr>
        <w:t>按通用条款执行。</w:t>
      </w:r>
    </w:p>
    <w:p w14:paraId="79F10FD0">
      <w:pPr>
        <w:pageBreakBefore w:val="0"/>
        <w:shd w:val="clear"/>
        <w:bidi w:val="0"/>
        <w:adjustRightInd w:val="0"/>
        <w:snapToGrid w:val="0"/>
        <w:spacing w:beforeAutospacing="0" w:afterAutospacing="0" w:line="568" w:lineRule="exact"/>
        <w:ind w:firstLine="420" w:firstLineChars="200"/>
        <w:outlineLvl w:val="0"/>
        <w:rPr>
          <w:rFonts w:hint="eastAsia" w:ascii="仿宋" w:hAnsi="仿宋" w:eastAsia="仿宋" w:cs="仿宋"/>
          <w:color w:val="auto"/>
          <w:kern w:val="0"/>
          <w:sz w:val="21"/>
          <w:szCs w:val="21"/>
          <w:highlight w:val="none"/>
        </w:rPr>
      </w:pPr>
      <w:r>
        <w:rPr>
          <w:rFonts w:hint="eastAsia" w:ascii="仿宋" w:hAnsi="仿宋" w:eastAsia="仿宋" w:cs="仿宋"/>
          <w:color w:val="auto"/>
          <w:sz w:val="21"/>
          <w:szCs w:val="21"/>
          <w:highlight w:val="none"/>
        </w:rPr>
        <w:t>1.11.4 承包人在施工过程中所采用的专利、专有技术、技术秘密的使用费的承担方式：</w:t>
      </w:r>
      <w:r>
        <w:rPr>
          <w:rFonts w:hint="eastAsia" w:ascii="仿宋" w:hAnsi="仿宋" w:eastAsia="仿宋" w:cs="仿宋"/>
          <w:color w:val="auto"/>
          <w:sz w:val="21"/>
          <w:szCs w:val="21"/>
          <w:highlight w:val="none"/>
          <w:u w:val="single"/>
        </w:rPr>
        <w:t>按通用条款执行。</w:t>
      </w:r>
      <w:bookmarkEnd w:id="28"/>
      <w:bookmarkEnd w:id="29"/>
    </w:p>
    <w:p w14:paraId="390F3F81">
      <w:pPr>
        <w:pageBreakBefore w:val="0"/>
        <w:shd w:val="clear"/>
        <w:bidi w:val="0"/>
        <w:adjustRightInd w:val="0"/>
        <w:snapToGrid w:val="0"/>
        <w:spacing w:beforeAutospacing="0" w:afterAutospacing="0" w:line="568" w:lineRule="exact"/>
        <w:ind w:firstLine="480"/>
        <w:rPr>
          <w:rFonts w:hint="eastAsia" w:ascii="仿宋" w:hAnsi="仿宋" w:eastAsia="仿宋" w:cs="仿宋"/>
          <w:b/>
          <w:bCs/>
          <w:color w:val="auto"/>
          <w:sz w:val="21"/>
          <w:szCs w:val="21"/>
          <w:highlight w:val="none"/>
        </w:rPr>
      </w:pPr>
      <w:bookmarkStart w:id="30" w:name="_Toc3559_WPSOffice_Level3"/>
      <w:r>
        <w:rPr>
          <w:rFonts w:hint="eastAsia" w:ascii="仿宋" w:hAnsi="仿宋" w:eastAsia="仿宋" w:cs="仿宋"/>
          <w:b/>
          <w:bCs/>
          <w:color w:val="auto"/>
          <w:sz w:val="21"/>
          <w:szCs w:val="21"/>
          <w:highlight w:val="none"/>
        </w:rPr>
        <w:t>1.13工程量清单错误的修正</w:t>
      </w:r>
      <w:bookmarkEnd w:id="30"/>
    </w:p>
    <w:p w14:paraId="0B8FC819">
      <w:pPr>
        <w:pageBreakBefore w:val="0"/>
        <w:shd w:val="clear"/>
        <w:bidi w:val="0"/>
        <w:adjustRightInd w:val="0"/>
        <w:snapToGrid w:val="0"/>
        <w:spacing w:beforeAutospacing="0" w:afterAutospacing="0" w:line="568" w:lineRule="exact"/>
        <w:ind w:firstLine="480"/>
        <w:jc w:val="left"/>
        <w:rPr>
          <w:rFonts w:hint="eastAsia" w:ascii="仿宋" w:hAnsi="仿宋" w:eastAsia="仿宋" w:cs="仿宋"/>
          <w:color w:val="auto"/>
          <w:sz w:val="21"/>
          <w:szCs w:val="21"/>
          <w:highlight w:val="none"/>
          <w:u w:val="single"/>
        </w:rPr>
      </w:pPr>
      <w:bookmarkStart w:id="31" w:name="_Toc37169017"/>
      <w:r>
        <w:rPr>
          <w:rFonts w:hint="eastAsia" w:ascii="仿宋" w:hAnsi="仿宋" w:eastAsia="仿宋" w:cs="仿宋"/>
          <w:color w:val="auto"/>
          <w:sz w:val="21"/>
          <w:szCs w:val="21"/>
          <w:highlight w:val="none"/>
        </w:rPr>
        <w:t>出现工程量清单错误时，是否调整合同价格：</w:t>
      </w:r>
      <w:r>
        <w:rPr>
          <w:rFonts w:hint="eastAsia" w:ascii="仿宋" w:hAnsi="仿宋" w:eastAsia="仿宋" w:cs="仿宋"/>
          <w:color w:val="auto"/>
          <w:sz w:val="21"/>
          <w:szCs w:val="21"/>
          <w:highlight w:val="none"/>
          <w:u w:val="single"/>
        </w:rPr>
        <w:t xml:space="preserve"> 按通用条款执行。</w:t>
      </w:r>
    </w:p>
    <w:p w14:paraId="38C1878A">
      <w:pPr>
        <w:pageBreakBefore w:val="0"/>
        <w:shd w:val="clear"/>
        <w:bidi w:val="0"/>
        <w:adjustRightInd w:val="0"/>
        <w:snapToGrid w:val="0"/>
        <w:spacing w:beforeAutospacing="0" w:afterAutospacing="0" w:line="568" w:lineRule="exact"/>
        <w:ind w:firstLine="480"/>
        <w:jc w:val="left"/>
        <w:rPr>
          <w:rFonts w:hint="eastAsia" w:ascii="仿宋" w:hAnsi="仿宋" w:eastAsia="仿宋" w:cs="仿宋"/>
          <w:color w:val="auto"/>
          <w:kern w:val="0"/>
          <w:sz w:val="21"/>
          <w:szCs w:val="21"/>
          <w:highlight w:val="none"/>
          <w:u w:val="single"/>
        </w:rPr>
      </w:pPr>
      <w:r>
        <w:rPr>
          <w:rFonts w:hint="eastAsia" w:ascii="仿宋" w:hAnsi="仿宋" w:eastAsia="仿宋" w:cs="仿宋"/>
          <w:color w:val="auto"/>
          <w:sz w:val="21"/>
          <w:szCs w:val="21"/>
          <w:highlight w:val="none"/>
        </w:rPr>
        <w:t>允许调整合同价格的工程量偏差范围：</w:t>
      </w:r>
      <w:r>
        <w:rPr>
          <w:rFonts w:hint="eastAsia" w:ascii="仿宋" w:hAnsi="仿宋" w:eastAsia="仿宋" w:cs="仿宋"/>
          <w:color w:val="auto"/>
          <w:sz w:val="21"/>
          <w:szCs w:val="21"/>
          <w:highlight w:val="none"/>
          <w:u w:val="single"/>
          <w:lang w:val="en-US" w:eastAsia="zh-CN"/>
        </w:rPr>
        <w:t xml:space="preserve"> （1）发包人提供的分部分项工程量清单项目漏项、错项、项目多列或重复列项。（2）发包人提供的工程量清单项目数量有误。 </w:t>
      </w:r>
    </w:p>
    <w:p w14:paraId="2366EB21">
      <w:pPr>
        <w:pageBreakBefore w:val="0"/>
        <w:shd w:val="clear"/>
        <w:bidi w:val="0"/>
        <w:adjustRightInd w:val="0"/>
        <w:snapToGrid w:val="0"/>
        <w:spacing w:beforeAutospacing="0" w:afterAutospacing="0" w:line="568" w:lineRule="exact"/>
        <w:ind w:firstLine="422" w:firstLineChars="200"/>
        <w:rPr>
          <w:rFonts w:hint="eastAsia" w:ascii="仿宋" w:hAnsi="仿宋" w:eastAsia="仿宋" w:cs="仿宋"/>
          <w:color w:val="auto"/>
          <w:sz w:val="21"/>
          <w:szCs w:val="21"/>
          <w:highlight w:val="none"/>
        </w:rPr>
      </w:pPr>
      <w:r>
        <w:rPr>
          <w:rFonts w:ascii="仿宋" w:hAnsi="仿宋" w:eastAsia="仿宋" w:cs="仿宋"/>
          <w:b/>
          <w:bCs/>
          <w:color w:val="auto"/>
          <w:sz w:val="21"/>
          <w:szCs w:val="21"/>
          <w:highlight w:val="none"/>
        </w:rPr>
        <w:t>2</w:t>
      </w:r>
      <w:r>
        <w:rPr>
          <w:rFonts w:hint="eastAsia" w:ascii="仿宋" w:hAnsi="仿宋" w:eastAsia="仿宋" w:cs="仿宋"/>
          <w:b/>
          <w:bCs/>
          <w:color w:val="auto"/>
          <w:sz w:val="21"/>
          <w:szCs w:val="21"/>
          <w:highlight w:val="none"/>
        </w:rPr>
        <w:t>.发包人</w:t>
      </w:r>
      <w:bookmarkEnd w:id="31"/>
    </w:p>
    <w:p w14:paraId="255ECC93">
      <w:pPr>
        <w:pageBreakBefore w:val="0"/>
        <w:shd w:val="clear"/>
        <w:bidi w:val="0"/>
        <w:adjustRightInd w:val="0"/>
        <w:snapToGrid w:val="0"/>
        <w:spacing w:beforeAutospacing="0" w:afterAutospacing="0" w:line="568" w:lineRule="exact"/>
        <w:ind w:firstLine="480"/>
        <w:rPr>
          <w:rFonts w:hint="eastAsia" w:ascii="仿宋" w:hAnsi="仿宋" w:eastAsia="仿宋" w:cs="仿宋"/>
          <w:b/>
          <w:bCs/>
          <w:color w:val="auto"/>
          <w:sz w:val="21"/>
          <w:szCs w:val="21"/>
          <w:highlight w:val="none"/>
        </w:rPr>
      </w:pPr>
      <w:bookmarkStart w:id="32" w:name="_Toc2485"/>
      <w:bookmarkStart w:id="33" w:name="_Toc22718_WPSOffice_Level3"/>
      <w:bookmarkStart w:id="34" w:name="_Toc19175"/>
      <w:r>
        <w:rPr>
          <w:rFonts w:hint="eastAsia" w:ascii="仿宋" w:hAnsi="仿宋" w:eastAsia="仿宋" w:cs="仿宋"/>
          <w:b/>
          <w:bCs/>
          <w:color w:val="auto"/>
          <w:sz w:val="21"/>
          <w:szCs w:val="21"/>
          <w:highlight w:val="none"/>
        </w:rPr>
        <w:t>2.2 发包人代表</w:t>
      </w:r>
      <w:bookmarkEnd w:id="32"/>
      <w:bookmarkEnd w:id="33"/>
      <w:bookmarkEnd w:id="34"/>
    </w:p>
    <w:p w14:paraId="460FA954">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发包人代表：</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single"/>
        </w:rPr>
        <w:t>；</w:t>
      </w:r>
    </w:p>
    <w:p w14:paraId="1CAE3137">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发包人对发包人代表的授权范围如下：</w:t>
      </w:r>
      <w:r>
        <w:rPr>
          <w:rFonts w:hint="eastAsia" w:ascii="仿宋" w:hAnsi="仿宋" w:eastAsia="仿宋" w:cs="仿宋"/>
          <w:color w:val="auto"/>
          <w:sz w:val="21"/>
          <w:szCs w:val="21"/>
          <w:highlight w:val="none"/>
          <w:u w:val="single"/>
        </w:rPr>
        <w:t>发包人授权发包人代表为本项目现场负责人，代表发包人对本项目进行现场管理</w:t>
      </w:r>
      <w:r>
        <w:rPr>
          <w:rFonts w:hint="eastAsia" w:ascii="仿宋" w:hAnsi="仿宋" w:eastAsia="仿宋" w:cs="仿宋"/>
          <w:color w:val="auto"/>
          <w:sz w:val="21"/>
          <w:szCs w:val="21"/>
          <w:highlight w:val="none"/>
          <w:u w:val="single"/>
          <w:lang w:eastAsia="zh-CN"/>
        </w:rPr>
        <w:t>：</w:t>
      </w:r>
      <w:r>
        <w:rPr>
          <w:rFonts w:hint="eastAsia" w:ascii="仿宋" w:hAnsi="仿宋" w:eastAsia="仿宋" w:cs="仿宋"/>
          <w:color w:val="auto"/>
          <w:sz w:val="21"/>
          <w:szCs w:val="21"/>
          <w:highlight w:val="none"/>
          <w:u w:val="single"/>
        </w:rPr>
        <w:t>1、督促承包人与监理方按照合同约定履行工作职责；2、协调各有关单位工作；3、工程进度与工程量的签证；4、督促并控制工程进度、质量、投资。在合同有效期内，发包人代表签字确认的工程量、指令、通知、意见、答复等书面文件均须加盖发包人公章才对发包人产生法律效力。</w:t>
      </w:r>
    </w:p>
    <w:p w14:paraId="24EA9596">
      <w:pPr>
        <w:pageBreakBefore w:val="0"/>
        <w:shd w:val="clear"/>
        <w:bidi w:val="0"/>
        <w:adjustRightInd w:val="0"/>
        <w:snapToGrid w:val="0"/>
        <w:spacing w:beforeAutospacing="0" w:afterAutospacing="0" w:line="568" w:lineRule="exact"/>
        <w:ind w:firstLine="48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2.4  施工现场、施工条件和基础资料的提供</w:t>
      </w:r>
    </w:p>
    <w:p w14:paraId="43072303">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2.4.1提供施工现场</w:t>
      </w:r>
    </w:p>
    <w:p w14:paraId="717F545D">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关于发包人移交施工现场的期限要求：</w:t>
      </w:r>
      <w:r>
        <w:rPr>
          <w:rFonts w:hint="eastAsia" w:ascii="仿宋" w:hAnsi="仿宋" w:eastAsia="仿宋" w:cs="仿宋"/>
          <w:color w:val="auto"/>
          <w:sz w:val="21"/>
          <w:szCs w:val="21"/>
          <w:highlight w:val="none"/>
          <w:u w:val="single"/>
          <w:lang w:eastAsia="zh-CN"/>
        </w:rPr>
        <w:t>按通用条款执行</w:t>
      </w:r>
      <w:r>
        <w:rPr>
          <w:rFonts w:hint="eastAsia" w:ascii="仿宋" w:hAnsi="仿宋" w:eastAsia="仿宋" w:cs="仿宋"/>
          <w:color w:val="auto"/>
          <w:sz w:val="21"/>
          <w:szCs w:val="21"/>
          <w:highlight w:val="none"/>
        </w:rPr>
        <w:t>。</w:t>
      </w:r>
    </w:p>
    <w:p w14:paraId="169F84E5">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2.4.2提供施工条件</w:t>
      </w:r>
    </w:p>
    <w:p w14:paraId="15B00600">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关于发包人应负责提供施工所需要的条件，包括：</w:t>
      </w:r>
      <w:r>
        <w:rPr>
          <w:rFonts w:hint="eastAsia" w:ascii="仿宋" w:hAnsi="仿宋" w:eastAsia="仿宋" w:cs="仿宋"/>
          <w:color w:val="auto"/>
          <w:sz w:val="21"/>
          <w:szCs w:val="21"/>
          <w:highlight w:val="none"/>
          <w:u w:val="single"/>
        </w:rPr>
        <w:t>发包人只提供施工用水、用电的接入地点，提供时间为开工前七天内；水电接入点之后的现场施工接入及费用由承包人承担。</w:t>
      </w:r>
    </w:p>
    <w:p w14:paraId="76EEF9A2">
      <w:pPr>
        <w:pageBreakBefore w:val="0"/>
        <w:shd w:val="clear"/>
        <w:bidi w:val="0"/>
        <w:adjustRightInd w:val="0"/>
        <w:snapToGrid w:val="0"/>
        <w:spacing w:beforeAutospacing="0" w:afterAutospacing="0" w:line="568" w:lineRule="exact"/>
        <w:ind w:firstLine="480"/>
        <w:rPr>
          <w:rFonts w:ascii="仿宋" w:hAnsi="仿宋" w:eastAsia="仿宋" w:cs="仿宋"/>
          <w:b/>
          <w:color w:val="auto"/>
          <w:sz w:val="21"/>
          <w:szCs w:val="21"/>
          <w:highlight w:val="none"/>
        </w:rPr>
      </w:pPr>
      <w:bookmarkStart w:id="35" w:name="_Toc37169018"/>
      <w:r>
        <w:rPr>
          <w:rFonts w:ascii="仿宋" w:hAnsi="仿宋" w:eastAsia="仿宋" w:cs="仿宋"/>
          <w:b/>
          <w:bCs/>
          <w:color w:val="auto"/>
          <w:sz w:val="21"/>
          <w:szCs w:val="21"/>
          <w:highlight w:val="none"/>
        </w:rPr>
        <w:t>3</w:t>
      </w:r>
      <w:r>
        <w:rPr>
          <w:rFonts w:hint="eastAsia" w:ascii="仿宋" w:hAnsi="仿宋" w:eastAsia="仿宋" w:cs="仿宋"/>
          <w:b/>
          <w:bCs/>
          <w:color w:val="auto"/>
          <w:sz w:val="21"/>
          <w:szCs w:val="21"/>
          <w:highlight w:val="none"/>
          <w:lang w:val="en-US" w:eastAsia="zh-CN"/>
        </w:rPr>
        <w:t>.</w:t>
      </w:r>
      <w:r>
        <w:rPr>
          <w:rFonts w:hint="eastAsia" w:ascii="仿宋" w:hAnsi="仿宋" w:eastAsia="仿宋" w:cs="仿宋"/>
          <w:b/>
          <w:bCs/>
          <w:color w:val="auto"/>
          <w:sz w:val="21"/>
          <w:szCs w:val="21"/>
          <w:highlight w:val="none"/>
        </w:rPr>
        <w:t>承包人</w:t>
      </w:r>
      <w:bookmarkEnd w:id="35"/>
    </w:p>
    <w:p w14:paraId="55FE4ED4">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3.1承包人的一般义务</w:t>
      </w:r>
    </w:p>
    <w:p w14:paraId="58194BD0">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w:t>
      </w:r>
      <w:r>
        <w:rPr>
          <w:rFonts w:hint="eastAsia" w:ascii="仿宋" w:hAnsi="仿宋" w:eastAsia="仿宋" w:cs="仿宋"/>
          <w:b w:val="0"/>
          <w:bCs w:val="0"/>
          <w:color w:val="auto"/>
          <w:sz w:val="21"/>
          <w:szCs w:val="21"/>
          <w:highlight w:val="none"/>
          <w:lang w:val="en-US" w:eastAsia="zh-CN"/>
        </w:rPr>
        <w:t>1</w:t>
      </w:r>
      <w:r>
        <w:rPr>
          <w:rFonts w:hint="eastAsia" w:ascii="仿宋" w:hAnsi="仿宋" w:eastAsia="仿宋" w:cs="仿宋"/>
          <w:b w:val="0"/>
          <w:bCs w:val="0"/>
          <w:color w:val="auto"/>
          <w:sz w:val="21"/>
          <w:szCs w:val="21"/>
          <w:highlight w:val="none"/>
        </w:rPr>
        <w:t>）承包人提交的竣工资料的内容：</w:t>
      </w:r>
      <w:r>
        <w:rPr>
          <w:rFonts w:hint="eastAsia" w:ascii="仿宋" w:hAnsi="仿宋" w:eastAsia="仿宋" w:cs="仿宋"/>
          <w:b w:val="0"/>
          <w:bCs w:val="0"/>
          <w:color w:val="auto"/>
          <w:sz w:val="21"/>
          <w:szCs w:val="21"/>
          <w:highlight w:val="none"/>
          <w:u w:val="single"/>
        </w:rPr>
        <w:t>满足规范及结算审计要求。</w:t>
      </w:r>
      <w:r>
        <w:rPr>
          <w:rFonts w:hint="eastAsia" w:ascii="仿宋" w:hAnsi="仿宋" w:eastAsia="仿宋" w:cs="仿宋"/>
          <w:b w:val="0"/>
          <w:bCs w:val="0"/>
          <w:color w:val="auto"/>
          <w:sz w:val="21"/>
          <w:szCs w:val="21"/>
          <w:highlight w:val="none"/>
        </w:rPr>
        <w:t xml:space="preserve">                </w:t>
      </w:r>
    </w:p>
    <w:p w14:paraId="658848DA">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承包人需要提交的竣工资料套数：</w:t>
      </w:r>
      <w:r>
        <w:rPr>
          <w:rFonts w:hint="eastAsia" w:ascii="仿宋" w:hAnsi="仿宋" w:eastAsia="仿宋" w:cs="仿宋"/>
          <w:b w:val="0"/>
          <w:bCs w:val="0"/>
          <w:color w:val="auto"/>
          <w:sz w:val="21"/>
          <w:szCs w:val="21"/>
          <w:highlight w:val="none"/>
          <w:u w:val="single"/>
          <w:lang w:val="en-US" w:eastAsia="zh-CN"/>
        </w:rPr>
        <w:t>3套</w:t>
      </w:r>
      <w:r>
        <w:rPr>
          <w:rFonts w:hint="eastAsia" w:ascii="仿宋" w:hAnsi="仿宋" w:eastAsia="仿宋" w:cs="仿宋"/>
          <w:b w:val="0"/>
          <w:bCs w:val="0"/>
          <w:color w:val="auto"/>
          <w:sz w:val="21"/>
          <w:szCs w:val="21"/>
          <w:highlight w:val="none"/>
          <w:u w:val="single"/>
        </w:rPr>
        <w:t>。</w:t>
      </w:r>
    </w:p>
    <w:p w14:paraId="67BABF6F">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承包人提交的竣工资料的费用承担：</w:t>
      </w:r>
      <w:r>
        <w:rPr>
          <w:rFonts w:hint="eastAsia" w:ascii="仿宋" w:hAnsi="仿宋" w:eastAsia="仿宋" w:cs="仿宋"/>
          <w:b w:val="0"/>
          <w:bCs w:val="0"/>
          <w:color w:val="auto"/>
          <w:sz w:val="21"/>
          <w:szCs w:val="21"/>
          <w:highlight w:val="none"/>
          <w:u w:val="single"/>
          <w:lang w:eastAsia="zh-CN"/>
        </w:rPr>
        <w:t>承包人</w:t>
      </w:r>
      <w:r>
        <w:rPr>
          <w:rFonts w:hint="eastAsia" w:ascii="仿宋" w:hAnsi="仿宋" w:eastAsia="仿宋" w:cs="仿宋"/>
          <w:b w:val="0"/>
          <w:bCs w:val="0"/>
          <w:color w:val="auto"/>
          <w:sz w:val="21"/>
          <w:szCs w:val="21"/>
          <w:highlight w:val="none"/>
          <w:u w:val="single"/>
        </w:rPr>
        <w:t>承担。</w:t>
      </w:r>
    </w:p>
    <w:p w14:paraId="3E2E2E3F">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承包人提交的竣工资料移交时间：</w:t>
      </w:r>
      <w:r>
        <w:rPr>
          <w:rFonts w:hint="eastAsia" w:ascii="仿宋" w:hAnsi="仿宋" w:eastAsia="仿宋" w:cs="仿宋"/>
          <w:b w:val="0"/>
          <w:bCs w:val="0"/>
          <w:color w:val="auto"/>
          <w:sz w:val="21"/>
          <w:szCs w:val="21"/>
          <w:highlight w:val="none"/>
          <w:u w:val="single"/>
        </w:rPr>
        <w:t>竣工验收</w:t>
      </w:r>
      <w:r>
        <w:rPr>
          <w:rFonts w:hint="eastAsia" w:ascii="仿宋" w:hAnsi="仿宋" w:eastAsia="仿宋" w:cs="仿宋"/>
          <w:b w:val="0"/>
          <w:bCs w:val="0"/>
          <w:color w:val="auto"/>
          <w:sz w:val="21"/>
          <w:szCs w:val="21"/>
          <w:highlight w:val="none"/>
          <w:u w:val="single"/>
          <w:lang w:eastAsia="zh-CN"/>
        </w:rPr>
        <w:t>合格</w:t>
      </w:r>
      <w:r>
        <w:rPr>
          <w:rFonts w:hint="eastAsia" w:ascii="仿宋" w:hAnsi="仿宋" w:eastAsia="仿宋" w:cs="仿宋"/>
          <w:b w:val="0"/>
          <w:bCs w:val="0"/>
          <w:color w:val="auto"/>
          <w:sz w:val="21"/>
          <w:szCs w:val="21"/>
          <w:highlight w:val="none"/>
          <w:u w:val="single"/>
        </w:rPr>
        <w:t>后</w:t>
      </w:r>
      <w:r>
        <w:rPr>
          <w:rFonts w:hint="eastAsia" w:ascii="仿宋" w:hAnsi="仿宋" w:eastAsia="仿宋" w:cs="仿宋"/>
          <w:b w:val="0"/>
          <w:bCs w:val="0"/>
          <w:color w:val="auto"/>
          <w:sz w:val="21"/>
          <w:szCs w:val="21"/>
          <w:highlight w:val="none"/>
          <w:u w:val="single"/>
          <w:lang w:val="en-US" w:eastAsia="zh-CN"/>
        </w:rPr>
        <w:t>6个月</w:t>
      </w:r>
      <w:r>
        <w:rPr>
          <w:rFonts w:hint="eastAsia" w:ascii="仿宋" w:hAnsi="仿宋" w:eastAsia="仿宋" w:cs="仿宋"/>
          <w:b w:val="0"/>
          <w:bCs w:val="0"/>
          <w:color w:val="auto"/>
          <w:sz w:val="21"/>
          <w:szCs w:val="21"/>
          <w:highlight w:val="none"/>
          <w:u w:val="single"/>
        </w:rPr>
        <w:t>内。</w:t>
      </w:r>
    </w:p>
    <w:p w14:paraId="29EBB05C">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承包人提交的竣工资料形式要求：</w:t>
      </w:r>
      <w:r>
        <w:rPr>
          <w:rFonts w:hint="eastAsia" w:ascii="仿宋" w:hAnsi="仿宋" w:eastAsia="仿宋" w:cs="仿宋"/>
          <w:b w:val="0"/>
          <w:bCs w:val="0"/>
          <w:color w:val="auto"/>
          <w:sz w:val="21"/>
          <w:szCs w:val="21"/>
          <w:highlight w:val="none"/>
          <w:u w:val="single"/>
        </w:rPr>
        <w:t>纸质文本、电子光盘及声像档案。</w:t>
      </w:r>
    </w:p>
    <w:p w14:paraId="4EA69B9F">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eastAsia="zh-CN"/>
        </w:rPr>
        <w:t>（</w:t>
      </w:r>
      <w:r>
        <w:rPr>
          <w:rFonts w:hint="eastAsia" w:ascii="仿宋" w:hAnsi="仿宋" w:eastAsia="仿宋" w:cs="仿宋"/>
          <w:b w:val="0"/>
          <w:bCs w:val="0"/>
          <w:color w:val="auto"/>
          <w:sz w:val="21"/>
          <w:szCs w:val="21"/>
          <w:highlight w:val="none"/>
          <w:lang w:val="en-US" w:eastAsia="zh-CN"/>
        </w:rPr>
        <w:t>2</w:t>
      </w:r>
      <w:r>
        <w:rPr>
          <w:rFonts w:hint="eastAsia" w:ascii="仿宋" w:hAnsi="仿宋" w:eastAsia="仿宋" w:cs="仿宋"/>
          <w:b w:val="0"/>
          <w:bCs w:val="0"/>
          <w:color w:val="auto"/>
          <w:sz w:val="21"/>
          <w:szCs w:val="21"/>
          <w:highlight w:val="none"/>
          <w:lang w:eastAsia="zh-CN"/>
        </w:rPr>
        <w:t>）承包人应履行的其他义务：</w:t>
      </w:r>
    </w:p>
    <w:p w14:paraId="17B2D84D">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eastAsia="zh-CN"/>
        </w:rPr>
        <w:t>1 承担施工安全保卫工作及施工场地夜间照明的责任和要求：施工全过程由承包人全面负责，根据有关部门要求，提供和维护所有灯光、护板、栅栏、警告信号和警卫，以及对工程进行保护或为公众提供安全和方便。</w:t>
      </w:r>
    </w:p>
    <w:p w14:paraId="63B9A865">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eastAsia="zh-CN"/>
        </w:rPr>
        <w:t>2 需承包人办理的有关施工场地交通、环卫和施工噪音管理等手续：承包人应按照政府有关规定办理好施工场地交通、环卫和施工噪音管理等手续，费用已包含在合同总价中，发包人不另行支付费用。承包人应保证发包人免于受到或承担与之有关的索赔、诉讼、行政处罚、损害赔偿及其他开支；否则由承包人承担一切责任。</w:t>
      </w:r>
    </w:p>
    <w:p w14:paraId="72C95FF6">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eastAsia="zh-CN"/>
        </w:rPr>
        <w:t>3 已完工程成品保护的特殊要求及费用承担：已竣工工程在未交付前由承包人负责保护，费用包含在合同总价内。</w:t>
      </w:r>
    </w:p>
    <w:p w14:paraId="68737DA2">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eastAsia="zh-CN"/>
        </w:rPr>
        <w:t>4 施工现场周围原有的管线和邻近建筑物、构筑物（含文物保护建筑）、古树名木的保护要求及费用承担：承包人按国家相关法规做好施工场地周围地下管线和邻近建筑物、构筑物的保护工作（一般保护措施及相关费用已包含在合同总价中，发包人不另行支付费用），如有损坏、造成事故或由此引起第三人（方）对发包人的追究，由承包人承担一切经济和法律责任，如有重大或特殊保护方案的需征求发包人同意并经相关审批程序后方可实施并签证追加相关费用。</w:t>
      </w:r>
    </w:p>
    <w:p w14:paraId="40D08DC0">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eastAsia="zh-CN"/>
        </w:rPr>
        <w:t>5 施工场地清洁卫生的要求：按照文明施工的要求，负责施工场地清洁卫生，并配备必要的设施和人员在施工期间每天对施工场地进行清洁，必须做到工完场清。</w:t>
      </w:r>
    </w:p>
    <w:p w14:paraId="27C8B0BE">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eastAsia="zh-CN"/>
        </w:rPr>
        <w:t>6 发包人交出场地后，承包人必须要和周边单位（包括村镇）做好沟通、协调工作，和周边单位发生矛盾时，承包人必须负责解决相关问题。承包人有责任维护发包人在市民中的形象，若因工程原因发生骚乱等对发包人有影响的重大事件，承包人要负全责，造成发包人被第三方索赔，发包人保留向承包人索赔的权利。如因此致使本项目无法正常施工或停工等，由此引起的一切经济和法律责任由承包人承担。</w:t>
      </w:r>
    </w:p>
    <w:p w14:paraId="45281C5A">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eastAsia="zh-CN"/>
        </w:rPr>
        <w:t>7 根据现场情况做好周边道路、自来水、地下排水、天然气、电力、通讯、绿化等市政设施和周边建筑物、构筑物、建设区域围墙的保护，如有损坏、造成事故或由此引起第三人（方）对发包人的追究，由承包人承担一切经济和法律责任。</w:t>
      </w:r>
    </w:p>
    <w:p w14:paraId="297EDBB1">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val="en-US" w:eastAsia="zh-CN"/>
        </w:rPr>
        <w:t>8</w:t>
      </w:r>
      <w:r>
        <w:rPr>
          <w:rFonts w:hint="eastAsia" w:ascii="仿宋" w:hAnsi="仿宋" w:eastAsia="仿宋" w:cs="仿宋"/>
          <w:b w:val="0"/>
          <w:bCs w:val="0"/>
          <w:color w:val="auto"/>
          <w:sz w:val="21"/>
          <w:szCs w:val="21"/>
          <w:highlight w:val="none"/>
          <w:lang w:eastAsia="zh-CN"/>
        </w:rPr>
        <w:t xml:space="preserve"> 承包人对各种可能扰民的施工行为按规定做好防范措施并办理各项报批手续。</w:t>
      </w:r>
    </w:p>
    <w:p w14:paraId="5C435CC6">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val="en-US" w:eastAsia="zh-CN"/>
        </w:rPr>
        <w:t>9</w:t>
      </w:r>
      <w:r>
        <w:rPr>
          <w:rFonts w:hint="eastAsia" w:ascii="仿宋" w:hAnsi="仿宋" w:eastAsia="仿宋" w:cs="仿宋"/>
          <w:b w:val="0"/>
          <w:bCs w:val="0"/>
          <w:color w:val="auto"/>
          <w:sz w:val="21"/>
          <w:szCs w:val="21"/>
          <w:highlight w:val="none"/>
          <w:lang w:eastAsia="zh-CN"/>
        </w:rPr>
        <w:t xml:space="preserve"> 承包人应当对施工中使用的材料进行各项质量指标的检查及试验，确保符合设计图纸要求的标准和材料质量指标的要求，经发包人现场代表、监理工程师书面认可后，方可使用。</w:t>
      </w:r>
    </w:p>
    <w:p w14:paraId="678E6ABB">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val="en-US" w:eastAsia="zh-CN"/>
        </w:rPr>
        <w:t>10</w:t>
      </w:r>
      <w:r>
        <w:rPr>
          <w:rFonts w:hint="eastAsia" w:ascii="仿宋" w:hAnsi="仿宋" w:eastAsia="仿宋" w:cs="仿宋"/>
          <w:b w:val="0"/>
          <w:bCs w:val="0"/>
          <w:color w:val="auto"/>
          <w:sz w:val="21"/>
          <w:szCs w:val="21"/>
          <w:highlight w:val="none"/>
          <w:lang w:eastAsia="zh-CN"/>
        </w:rPr>
        <w:t xml:space="preserve"> 承包人应按设施、设备进场计划配置驻地办公、测量、试验、交通、生活设备、用品及其配套设施，并确保投入本项目的所有仪器、设备、用品及其配套设施的状态、性能良好，以满足施工过程中的正常需要。若上述仪器、设备和设施不能或不足以满足施工过程中的需要而影响了对工程质量及进度的控制时，发包人有权要求承包方更换和增加，其费用支出均视为已包括在合同价格中，由承包人自行负责并在接到通知后7天内执行，否则，发包方有权为承包人认购所需仪器、设备、用品及其配套设施，其所支出费用从承包人的工程进度款中扣除。</w:t>
      </w:r>
    </w:p>
    <w:p w14:paraId="5BE87F4E">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eastAsia="zh-CN"/>
        </w:rPr>
        <w:t>11 负责各分包单位的施工现场管理协调、竣工资料汇总整理。承包人在申报竣工验收时，应按相关工程施工技术资料管理规定的要求，整理好完整的竣工图和竣工资料报送发包人并负责办理备案。竣工资料要求：施工单位在竣工验收时需按照《长沙市住房和城乡建设局关于实行建设工程档案“双套制”归档与移交的通知》（长住建发【2020】51号）、国家住房和城乡建设部《建设工程文件归档规范》（GB/T50328-2014）、湖南省住房和城乡建设厅《关于推进建设工程档案电子化工作的通知》（湘建【2018】125号）等文件要求，提交符合《建设工程文件归档规范》及长沙城建档案馆验收要求的建设工程竣工验收档案（含纸质档案及与纸质档案内容一致的建设工程电子档案或档案数字化副本）。</w:t>
      </w:r>
    </w:p>
    <w:p w14:paraId="78CF77AB">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val="en-US" w:eastAsia="zh-CN"/>
        </w:rPr>
        <w:t>12</w:t>
      </w:r>
      <w:r>
        <w:rPr>
          <w:rFonts w:hint="eastAsia" w:ascii="仿宋" w:hAnsi="仿宋" w:eastAsia="仿宋" w:cs="仿宋"/>
          <w:b w:val="0"/>
          <w:bCs w:val="0"/>
          <w:color w:val="auto"/>
          <w:sz w:val="21"/>
          <w:szCs w:val="21"/>
          <w:highlight w:val="none"/>
          <w:lang w:eastAsia="zh-CN"/>
        </w:rPr>
        <w:t xml:space="preserve"> 承包人在签订合同之前，应视为已对现场及其周围环境和与之有关的可用资料进行了视察和检查，并对以下几点在费用和时间的可行性感到满意：</w:t>
      </w:r>
    </w:p>
    <w:p w14:paraId="71F66624">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eastAsia="zh-CN"/>
        </w:rPr>
        <w:t>（1）发包人提供的实际基础资料与现场的关系吻合。</w:t>
      </w:r>
    </w:p>
    <w:p w14:paraId="167A24F6">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eastAsia="zh-CN"/>
        </w:rPr>
        <w:t>（2）现场的形状和性质，其中包括地表和地表以下的条件。</w:t>
      </w:r>
    </w:p>
    <w:p w14:paraId="162E2DC2">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eastAsia="zh-CN"/>
        </w:rPr>
        <w:t>（3）水文和气候的条件。</w:t>
      </w:r>
    </w:p>
    <w:p w14:paraId="258ADA0D">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eastAsia="zh-CN"/>
        </w:rPr>
        <w:t>（4）为工程施工和完工以及修补其任何缺陷所需的工作和材料的范围和性质。</w:t>
      </w:r>
    </w:p>
    <w:p w14:paraId="3E5EB1E8">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eastAsia="zh-CN"/>
        </w:rPr>
        <w:t>（5）进入现场的手段以及承包人可能需要的食宿条件。</w:t>
      </w:r>
    </w:p>
    <w:p w14:paraId="6F6750A6">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eastAsia="zh-CN"/>
        </w:rPr>
        <w:t>并且，认为承包人已取得有关上述可能产生影响或发生作用的风险、意外事件及所有其他情况的全部必要资料。应当认为承包人是以发包人提供的可利用的资料和承包人自己进行的上述视察和检查为依据的。无论发包人提供或承包人自己收集的上述资料，承包人对其完整性和正确性、以及作出的推论、解释和结论均由承包人负责。</w:t>
      </w:r>
    </w:p>
    <w:p w14:paraId="54C6805B">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val="en-US" w:eastAsia="zh-CN"/>
        </w:rPr>
        <w:t>13</w:t>
      </w:r>
      <w:r>
        <w:rPr>
          <w:rFonts w:hint="eastAsia" w:ascii="仿宋" w:hAnsi="仿宋" w:eastAsia="仿宋" w:cs="仿宋"/>
          <w:b w:val="0"/>
          <w:bCs w:val="0"/>
          <w:color w:val="auto"/>
          <w:sz w:val="21"/>
          <w:szCs w:val="21"/>
          <w:highlight w:val="none"/>
          <w:lang w:eastAsia="zh-CN"/>
        </w:rPr>
        <w:t xml:space="preserve"> 承包人不得以下列理由而提出索取额外款项的申请：对上述事项或其他方面有所误解；指称或以事实指出任何受雇或非受雇于发包人的人员向承包人提供错误或不足够资料；同时承包人亦不得以上述理由或因承包人没有或未能预见任何事实上会影响或已经影响合同工程进行的施工为理由，而获得免除根据合同规定须承担的风险或责任。</w:t>
      </w:r>
    </w:p>
    <w:p w14:paraId="631604F6">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val="en-US" w:eastAsia="zh-CN"/>
        </w:rPr>
        <w:t>14</w:t>
      </w:r>
      <w:r>
        <w:rPr>
          <w:rFonts w:hint="eastAsia" w:ascii="仿宋" w:hAnsi="仿宋" w:eastAsia="仿宋" w:cs="仿宋"/>
          <w:b w:val="0"/>
          <w:bCs w:val="0"/>
          <w:color w:val="auto"/>
          <w:sz w:val="21"/>
          <w:szCs w:val="21"/>
          <w:highlight w:val="none"/>
          <w:lang w:eastAsia="zh-CN"/>
        </w:rPr>
        <w:t xml:space="preserve"> 本项目在施工过程中存在与其他施工单位交叉作业情况，承包人需尽力配合，费用已包含在合同总价中，发包人不另行支付费用，如有额外费用发生，由施工单位与交叉作业单位自行商议。</w:t>
      </w:r>
    </w:p>
    <w:p w14:paraId="5CDB44CD">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b w:val="0"/>
          <w:bCs w:val="0"/>
          <w:color w:val="auto"/>
          <w:sz w:val="21"/>
          <w:szCs w:val="21"/>
          <w:highlight w:val="none"/>
          <w:lang w:eastAsia="zh-CN"/>
        </w:rPr>
      </w:pPr>
      <w:r>
        <w:rPr>
          <w:rFonts w:hint="eastAsia" w:ascii="仿宋" w:hAnsi="仿宋" w:eastAsia="仿宋" w:cs="仿宋"/>
          <w:b w:val="0"/>
          <w:bCs w:val="0"/>
          <w:color w:val="auto"/>
          <w:sz w:val="21"/>
          <w:szCs w:val="21"/>
          <w:highlight w:val="none"/>
          <w:lang w:val="en-US" w:eastAsia="zh-CN"/>
        </w:rPr>
        <w:t>15</w:t>
      </w:r>
      <w:r>
        <w:rPr>
          <w:rFonts w:hint="eastAsia" w:ascii="仿宋" w:hAnsi="仿宋" w:eastAsia="仿宋" w:cs="仿宋"/>
          <w:b w:val="0"/>
          <w:bCs w:val="0"/>
          <w:color w:val="auto"/>
          <w:sz w:val="21"/>
          <w:szCs w:val="21"/>
          <w:highlight w:val="none"/>
          <w:lang w:eastAsia="zh-CN"/>
        </w:rPr>
        <w:t xml:space="preserve"> 如承包人违反本合同项下的任何合同义务影响工程施工或给发包人造成任何损失，承包人除负责承担全部责任并赔偿全部损失外，还应承担合同总价5%的违约金。</w:t>
      </w:r>
    </w:p>
    <w:p w14:paraId="62A51644">
      <w:pPr>
        <w:pageBreakBefore w:val="0"/>
        <w:shd w:val="clear"/>
        <w:bidi w:val="0"/>
        <w:adjustRightInd w:val="0"/>
        <w:snapToGrid w:val="0"/>
        <w:spacing w:beforeAutospacing="0" w:afterAutospacing="0" w:line="568" w:lineRule="exact"/>
        <w:ind w:firstLine="441" w:firstLineChars="210"/>
        <w:rPr>
          <w:rFonts w:hint="default"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16 承包人应向本项目总承包方支付合同金额0.5%的总包服务费用。</w:t>
      </w:r>
    </w:p>
    <w:p w14:paraId="532D3F18">
      <w:pPr>
        <w:pageBreakBefore w:val="0"/>
        <w:shd w:val="clear"/>
        <w:bidi w:val="0"/>
        <w:adjustRightInd w:val="0"/>
        <w:snapToGrid w:val="0"/>
        <w:spacing w:beforeAutospacing="0" w:afterAutospacing="0" w:line="568" w:lineRule="exact"/>
        <w:ind w:firstLine="443" w:firstLineChars="21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3.2项目经理</w:t>
      </w:r>
    </w:p>
    <w:p w14:paraId="0FC6FB07">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3.2.1 项目经理：</w:t>
      </w:r>
    </w:p>
    <w:p w14:paraId="7D6261C3">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rPr>
        <w:t>姓名：</w:t>
      </w:r>
      <w:r>
        <w:rPr>
          <w:rFonts w:hint="eastAsia" w:ascii="仿宋" w:hAnsi="仿宋" w:eastAsia="仿宋" w:cs="仿宋"/>
          <w:color w:val="auto"/>
          <w:sz w:val="21"/>
          <w:szCs w:val="21"/>
          <w:highlight w:val="none"/>
          <w:u w:val="single"/>
          <w:lang w:val="en-US" w:eastAsia="zh-CN"/>
        </w:rPr>
        <w:t xml:space="preserve">       ；</w:t>
      </w:r>
    </w:p>
    <w:p w14:paraId="2418693B">
      <w:pPr>
        <w:pageBreakBefore w:val="0"/>
        <w:shd w:val="clear" w:color="auto" w:fill="auto"/>
        <w:bidi w:val="0"/>
        <w:adjustRightInd w:val="0"/>
        <w:snapToGrid w:val="0"/>
        <w:spacing w:beforeAutospacing="0" w:afterAutospacing="0" w:line="568" w:lineRule="exact"/>
        <w:ind w:firstLine="441" w:firstLineChars="2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身份证号：</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rPr>
        <w:t>；</w:t>
      </w:r>
    </w:p>
    <w:p w14:paraId="140CA85B">
      <w:pPr>
        <w:pageBreakBefore w:val="0"/>
        <w:shd w:val="clear" w:color="auto" w:fill="auto"/>
        <w:bidi w:val="0"/>
        <w:adjustRightInd w:val="0"/>
        <w:snapToGrid w:val="0"/>
        <w:spacing w:beforeAutospacing="0" w:afterAutospacing="0" w:line="568" w:lineRule="exact"/>
        <w:ind w:firstLine="441" w:firstLineChars="2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建造师执业资格等级：</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rPr>
        <w:t>；</w:t>
      </w:r>
    </w:p>
    <w:p w14:paraId="52D4949D">
      <w:pPr>
        <w:pageBreakBefore w:val="0"/>
        <w:shd w:val="clear" w:color="auto" w:fill="auto"/>
        <w:bidi w:val="0"/>
        <w:adjustRightInd w:val="0"/>
        <w:snapToGrid w:val="0"/>
        <w:spacing w:beforeAutospacing="0" w:afterAutospacing="0" w:line="568" w:lineRule="exact"/>
        <w:ind w:firstLine="441" w:firstLineChars="2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建造师注册证书号：</w:t>
      </w:r>
      <w:r>
        <w:rPr>
          <w:rFonts w:hint="eastAsia" w:ascii="仿宋" w:hAnsi="仿宋" w:eastAsia="仿宋" w:cs="仿宋"/>
          <w:color w:val="auto"/>
          <w:sz w:val="21"/>
          <w:szCs w:val="21"/>
          <w:highlight w:val="none"/>
          <w:u w:val="single"/>
          <w:lang w:val="en-US" w:eastAsia="zh-CN"/>
        </w:rPr>
        <w:t xml:space="preserve">     ；</w:t>
      </w:r>
    </w:p>
    <w:p w14:paraId="1FDD229B">
      <w:pPr>
        <w:pageBreakBefore w:val="0"/>
        <w:shd w:val="clear" w:color="auto" w:fill="auto"/>
        <w:bidi w:val="0"/>
        <w:adjustRightInd w:val="0"/>
        <w:snapToGrid w:val="0"/>
        <w:spacing w:beforeAutospacing="0" w:afterAutospacing="0" w:line="568" w:lineRule="exact"/>
        <w:ind w:firstLine="441" w:firstLineChars="2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安全生产考核合格证书号：</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rPr>
        <w:t>；</w:t>
      </w:r>
    </w:p>
    <w:p w14:paraId="20B063B8">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承包人对项目经理的授权范围如下：</w:t>
      </w:r>
      <w:r>
        <w:rPr>
          <w:rFonts w:hint="eastAsia" w:ascii="仿宋" w:hAnsi="仿宋" w:eastAsia="仿宋" w:cs="仿宋"/>
          <w:color w:val="auto"/>
          <w:sz w:val="21"/>
          <w:szCs w:val="21"/>
          <w:highlight w:val="none"/>
          <w:u w:val="single"/>
        </w:rPr>
        <w:t>受承包人委托全面负责与工程相关的安全、质量、进度等一切事务。</w:t>
      </w:r>
    </w:p>
    <w:p w14:paraId="01D63E3F">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u w:val="single"/>
        </w:rPr>
      </w:pPr>
      <w:r>
        <w:rPr>
          <w:rFonts w:hint="eastAsia" w:ascii="仿宋" w:hAnsi="仿宋" w:eastAsia="仿宋" w:cs="仿宋"/>
          <w:color w:val="auto"/>
          <w:kern w:val="0"/>
          <w:sz w:val="21"/>
          <w:szCs w:val="21"/>
          <w:highlight w:val="none"/>
        </w:rPr>
        <w:t>关于项目经理每月在施工现场的时间要求：</w:t>
      </w:r>
      <w:r>
        <w:rPr>
          <w:rFonts w:hint="eastAsia" w:ascii="仿宋" w:hAnsi="仿宋" w:eastAsia="仿宋" w:cs="仿宋"/>
          <w:color w:val="auto"/>
          <w:kern w:val="0"/>
          <w:sz w:val="21"/>
          <w:szCs w:val="21"/>
          <w:highlight w:val="none"/>
          <w:u w:val="single"/>
        </w:rPr>
        <w:t>不得少于25天。</w:t>
      </w:r>
    </w:p>
    <w:p w14:paraId="238BA1E1">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承包人未提交劳动合同，以及没有为项目经理缴纳社会保险证明的违约责任：</w:t>
      </w:r>
      <w:r>
        <w:rPr>
          <w:rFonts w:hint="eastAsia" w:ascii="仿宋" w:hAnsi="仿宋" w:eastAsia="仿宋" w:cs="仿宋"/>
          <w:color w:val="auto"/>
          <w:sz w:val="21"/>
          <w:szCs w:val="21"/>
          <w:highlight w:val="none"/>
          <w:u w:val="single"/>
        </w:rPr>
        <w:t>按合同通用条款执行。</w:t>
      </w:r>
    </w:p>
    <w:p w14:paraId="2844F21B">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none"/>
        </w:rPr>
        <w:t>项目经理未经批准，擅自离开施工现场的违约责任：</w:t>
      </w:r>
      <w:r>
        <w:rPr>
          <w:rFonts w:hint="eastAsia" w:ascii="仿宋" w:hAnsi="仿宋" w:eastAsia="仿宋" w:cs="仿宋"/>
          <w:color w:val="auto"/>
          <w:sz w:val="21"/>
          <w:szCs w:val="21"/>
          <w:highlight w:val="none"/>
          <w:u w:val="single"/>
        </w:rPr>
        <w:t>项目经理每擅自离开施工现场一天，承包人应按2000元/天向发包人支付违约金。</w:t>
      </w:r>
    </w:p>
    <w:p w14:paraId="18CC33F4">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3.2.3 承包人擅自更换项目经理的违约责任：</w:t>
      </w:r>
      <w:r>
        <w:rPr>
          <w:rFonts w:hint="eastAsia" w:ascii="仿宋" w:hAnsi="仿宋" w:eastAsia="仿宋" w:cs="仿宋"/>
          <w:color w:val="auto"/>
          <w:sz w:val="21"/>
          <w:szCs w:val="21"/>
          <w:highlight w:val="none"/>
          <w:u w:val="single"/>
        </w:rPr>
        <w:t>由承包人向发包人支付10万元违约金，且承包人承担违约带来的一切经济损失，发包人保留对承包人追究相应责任的权利。</w:t>
      </w:r>
    </w:p>
    <w:p w14:paraId="3428E3FD">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3.2.4 承包人无正当理由拒绝更换项目经理的违约责任：</w:t>
      </w:r>
      <w:r>
        <w:rPr>
          <w:rFonts w:hint="eastAsia" w:ascii="仿宋" w:hAnsi="仿宋" w:eastAsia="仿宋" w:cs="仿宋"/>
          <w:i w:val="0"/>
          <w:iCs w:val="0"/>
          <w:color w:val="auto"/>
          <w:sz w:val="21"/>
          <w:szCs w:val="21"/>
          <w:highlight w:val="none"/>
          <w:u w:val="single"/>
        </w:rPr>
        <w:t>由承包人向发包人支付10万元违约金，且承包人承担违约带来的一切经济损失，发包人保留对承包人追究相应责任的权利</w:t>
      </w:r>
      <w:r>
        <w:rPr>
          <w:rFonts w:hint="eastAsia" w:ascii="仿宋" w:hAnsi="仿宋" w:eastAsia="仿宋" w:cs="仿宋"/>
          <w:color w:val="auto"/>
          <w:sz w:val="21"/>
          <w:szCs w:val="21"/>
          <w:highlight w:val="none"/>
          <w:u w:val="single"/>
        </w:rPr>
        <w:t>。</w:t>
      </w:r>
    </w:p>
    <w:p w14:paraId="57E402F2">
      <w:pPr>
        <w:pageBreakBefore w:val="0"/>
        <w:shd w:val="clear"/>
        <w:bidi w:val="0"/>
        <w:adjustRightInd w:val="0"/>
        <w:snapToGrid w:val="0"/>
        <w:spacing w:beforeAutospacing="0" w:afterAutospacing="0" w:line="568" w:lineRule="exact"/>
        <w:ind w:firstLine="422" w:firstLineChars="200"/>
        <w:rPr>
          <w:rFonts w:hint="eastAsia" w:ascii="仿宋" w:hAnsi="仿宋" w:eastAsia="仿宋" w:cs="仿宋"/>
          <w:color w:val="auto"/>
          <w:sz w:val="21"/>
          <w:szCs w:val="21"/>
          <w:highlight w:val="none"/>
          <w:u w:val="single"/>
        </w:rPr>
      </w:pPr>
      <w:r>
        <w:rPr>
          <w:rFonts w:hint="eastAsia" w:ascii="仿宋" w:hAnsi="仿宋" w:eastAsia="仿宋" w:cs="仿宋"/>
          <w:b/>
          <w:bCs/>
          <w:color w:val="auto"/>
          <w:sz w:val="21"/>
          <w:szCs w:val="21"/>
          <w:highlight w:val="none"/>
        </w:rPr>
        <w:t>3.3承包人人员</w:t>
      </w:r>
    </w:p>
    <w:p w14:paraId="245C1F72">
      <w:pPr>
        <w:pageBreakBefore w:val="0"/>
        <w:shd w:val="clear"/>
        <w:bidi w:val="0"/>
        <w:adjustRightInd w:val="0"/>
        <w:snapToGrid w:val="0"/>
        <w:spacing w:beforeAutospacing="0" w:afterAutospacing="0" w:line="568" w:lineRule="exact"/>
        <w:ind w:firstLine="441" w:firstLineChars="210"/>
        <w:jc w:val="center"/>
        <w:rPr>
          <w:rFonts w:hint="eastAsia" w:ascii="仿宋" w:hAnsi="仿宋" w:eastAsia="仿宋" w:cs="仿宋"/>
          <w:color w:val="auto"/>
          <w:sz w:val="21"/>
          <w:szCs w:val="21"/>
          <w:highlight w:val="none"/>
        </w:rPr>
      </w:pPr>
      <w:bookmarkStart w:id="36" w:name="_Toc256000049"/>
      <w:bookmarkStart w:id="37" w:name="_Toc50381287"/>
      <w:r>
        <w:rPr>
          <w:rFonts w:hint="eastAsia" w:ascii="仿宋" w:hAnsi="仿宋" w:eastAsia="仿宋" w:cs="仿宋"/>
          <w:color w:val="auto"/>
          <w:sz w:val="21"/>
          <w:szCs w:val="21"/>
          <w:highlight w:val="none"/>
        </w:rPr>
        <w:t>关键岗位人员名单</w:t>
      </w:r>
      <w:bookmarkEnd w:id="36"/>
      <w:bookmarkEnd w:id="37"/>
    </w:p>
    <w:tbl>
      <w:tblPr>
        <w:tblStyle w:val="26"/>
        <w:tblW w:w="8408" w:type="dxa"/>
        <w:tblInd w:w="2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8"/>
        <w:gridCol w:w="856"/>
        <w:gridCol w:w="749"/>
        <w:gridCol w:w="1155"/>
        <w:gridCol w:w="2288"/>
        <w:gridCol w:w="982"/>
        <w:gridCol w:w="1590"/>
      </w:tblGrid>
      <w:tr w14:paraId="421A8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8" w:type="dxa"/>
            <w:vMerge w:val="restart"/>
            <w:tcBorders>
              <w:top w:val="single" w:color="000000" w:sz="4" w:space="0"/>
              <w:left w:val="single" w:color="000000" w:sz="4" w:space="0"/>
              <w:bottom w:val="single" w:color="000000" w:sz="4" w:space="0"/>
              <w:right w:val="single" w:color="000000" w:sz="4" w:space="0"/>
            </w:tcBorders>
            <w:noWrap w:val="0"/>
            <w:vAlign w:val="center"/>
          </w:tcPr>
          <w:p w14:paraId="035BE411">
            <w:pPr>
              <w:spacing w:line="320" w:lineRule="exact"/>
              <w:jc w:val="center"/>
              <w:rPr>
                <w:rFonts w:hint="eastAsia" w:ascii="仿宋" w:hAnsi="仿宋" w:eastAsia="仿宋" w:cs="仿宋"/>
                <w:snapToGrid w:val="0"/>
                <w:color w:val="auto"/>
                <w:sz w:val="21"/>
                <w:szCs w:val="21"/>
                <w:highlight w:val="none"/>
              </w:rPr>
            </w:pPr>
            <w:r>
              <w:rPr>
                <w:rFonts w:hint="eastAsia" w:ascii="仿宋" w:hAnsi="仿宋" w:eastAsia="仿宋" w:cs="仿宋"/>
                <w:snapToGrid w:val="0"/>
                <w:color w:val="auto"/>
                <w:sz w:val="21"/>
                <w:szCs w:val="21"/>
                <w:highlight w:val="none"/>
              </w:rPr>
              <w:t>岗位</w:t>
            </w:r>
          </w:p>
        </w:tc>
        <w:tc>
          <w:tcPr>
            <w:tcW w:w="856" w:type="dxa"/>
            <w:vMerge w:val="restart"/>
            <w:tcBorders>
              <w:top w:val="single" w:color="000000" w:sz="4" w:space="0"/>
              <w:left w:val="single" w:color="000000" w:sz="4" w:space="0"/>
              <w:bottom w:val="single" w:color="000000" w:sz="4" w:space="0"/>
              <w:right w:val="single" w:color="000000" w:sz="4" w:space="0"/>
            </w:tcBorders>
            <w:noWrap w:val="0"/>
            <w:vAlign w:val="center"/>
          </w:tcPr>
          <w:p w14:paraId="59E26987">
            <w:pPr>
              <w:spacing w:line="320" w:lineRule="exact"/>
              <w:jc w:val="center"/>
              <w:rPr>
                <w:rFonts w:hint="eastAsia" w:ascii="仿宋" w:hAnsi="仿宋" w:eastAsia="仿宋" w:cs="仿宋"/>
                <w:snapToGrid w:val="0"/>
                <w:color w:val="auto"/>
                <w:sz w:val="21"/>
                <w:szCs w:val="21"/>
                <w:highlight w:val="none"/>
              </w:rPr>
            </w:pPr>
            <w:r>
              <w:rPr>
                <w:rFonts w:hint="eastAsia" w:ascii="仿宋" w:hAnsi="仿宋" w:eastAsia="仿宋" w:cs="仿宋"/>
                <w:snapToGrid w:val="0"/>
                <w:color w:val="auto"/>
                <w:sz w:val="21"/>
                <w:szCs w:val="21"/>
                <w:highlight w:val="none"/>
              </w:rPr>
              <w:t>姓名</w:t>
            </w:r>
          </w:p>
        </w:tc>
        <w:tc>
          <w:tcPr>
            <w:tcW w:w="749" w:type="dxa"/>
            <w:vMerge w:val="restart"/>
            <w:tcBorders>
              <w:top w:val="single" w:color="000000" w:sz="4" w:space="0"/>
              <w:left w:val="single" w:color="000000" w:sz="4" w:space="0"/>
              <w:bottom w:val="single" w:color="000000" w:sz="4" w:space="0"/>
              <w:right w:val="single" w:color="000000" w:sz="4" w:space="0"/>
            </w:tcBorders>
            <w:noWrap w:val="0"/>
            <w:vAlign w:val="center"/>
          </w:tcPr>
          <w:p w14:paraId="503132E8">
            <w:pPr>
              <w:spacing w:line="320" w:lineRule="exact"/>
              <w:jc w:val="center"/>
              <w:rPr>
                <w:rFonts w:hint="eastAsia" w:ascii="仿宋" w:hAnsi="仿宋" w:eastAsia="仿宋" w:cs="仿宋"/>
                <w:snapToGrid w:val="0"/>
                <w:color w:val="auto"/>
                <w:sz w:val="21"/>
                <w:szCs w:val="21"/>
                <w:highlight w:val="none"/>
              </w:rPr>
            </w:pPr>
            <w:r>
              <w:rPr>
                <w:rFonts w:hint="eastAsia" w:ascii="仿宋" w:hAnsi="仿宋" w:eastAsia="仿宋" w:cs="仿宋"/>
                <w:snapToGrid w:val="0"/>
                <w:color w:val="auto"/>
                <w:sz w:val="21"/>
                <w:szCs w:val="21"/>
                <w:highlight w:val="none"/>
              </w:rPr>
              <w:t>职称</w:t>
            </w:r>
          </w:p>
        </w:tc>
        <w:tc>
          <w:tcPr>
            <w:tcW w:w="4425" w:type="dxa"/>
            <w:gridSpan w:val="3"/>
            <w:tcBorders>
              <w:top w:val="single" w:color="000000" w:sz="4" w:space="0"/>
              <w:left w:val="single" w:color="000000" w:sz="4" w:space="0"/>
              <w:bottom w:val="single" w:color="000000" w:sz="4" w:space="0"/>
              <w:right w:val="single" w:color="auto" w:sz="4" w:space="0"/>
            </w:tcBorders>
            <w:noWrap w:val="0"/>
            <w:vAlign w:val="center"/>
          </w:tcPr>
          <w:p w14:paraId="15099E73">
            <w:pPr>
              <w:spacing w:line="320" w:lineRule="exact"/>
              <w:jc w:val="center"/>
              <w:rPr>
                <w:rFonts w:hint="eastAsia" w:ascii="仿宋" w:hAnsi="仿宋" w:eastAsia="仿宋" w:cs="仿宋"/>
                <w:snapToGrid w:val="0"/>
                <w:color w:val="auto"/>
                <w:sz w:val="21"/>
                <w:szCs w:val="21"/>
                <w:highlight w:val="none"/>
              </w:rPr>
            </w:pPr>
            <w:r>
              <w:rPr>
                <w:rFonts w:hint="eastAsia" w:ascii="仿宋" w:hAnsi="仿宋" w:eastAsia="仿宋" w:cs="仿宋"/>
                <w:snapToGrid w:val="0"/>
                <w:color w:val="auto"/>
                <w:sz w:val="21"/>
                <w:szCs w:val="21"/>
                <w:highlight w:val="none"/>
              </w:rPr>
              <w:t>执业或岗位资格证明</w:t>
            </w: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center"/>
          </w:tcPr>
          <w:p w14:paraId="381E270E">
            <w:pPr>
              <w:spacing w:line="320" w:lineRule="exact"/>
              <w:jc w:val="center"/>
              <w:rPr>
                <w:rFonts w:hint="eastAsia" w:ascii="仿宋" w:hAnsi="仿宋" w:eastAsia="仿宋" w:cs="仿宋"/>
                <w:snapToGrid w:val="0"/>
                <w:color w:val="auto"/>
                <w:sz w:val="21"/>
                <w:szCs w:val="21"/>
                <w:highlight w:val="none"/>
              </w:rPr>
            </w:pPr>
            <w:r>
              <w:rPr>
                <w:rFonts w:hint="eastAsia" w:ascii="仿宋" w:hAnsi="仿宋" w:eastAsia="仿宋" w:cs="仿宋"/>
                <w:snapToGrid w:val="0"/>
                <w:color w:val="auto"/>
                <w:sz w:val="21"/>
                <w:szCs w:val="21"/>
                <w:highlight w:val="none"/>
              </w:rPr>
              <w:t>身份证号</w:t>
            </w:r>
          </w:p>
        </w:tc>
      </w:tr>
      <w:tr w14:paraId="1AB8C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97EAD0">
            <w:pPr>
              <w:widowControl/>
              <w:rPr>
                <w:rFonts w:hint="eastAsia" w:ascii="仿宋" w:hAnsi="仿宋" w:eastAsia="仿宋" w:cs="仿宋"/>
                <w:snapToGrid w:val="0"/>
                <w:color w:val="auto"/>
                <w:sz w:val="21"/>
                <w:szCs w:val="21"/>
                <w:highlight w:val="none"/>
              </w:rPr>
            </w:pPr>
          </w:p>
        </w:tc>
        <w:tc>
          <w:tcPr>
            <w:tcW w:w="85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6D83B3">
            <w:pPr>
              <w:widowControl/>
              <w:rPr>
                <w:rFonts w:hint="eastAsia" w:ascii="仿宋" w:hAnsi="仿宋" w:eastAsia="仿宋" w:cs="仿宋"/>
                <w:snapToGrid w:val="0"/>
                <w:color w:val="auto"/>
                <w:sz w:val="21"/>
                <w:szCs w:val="21"/>
                <w:highlight w:val="none"/>
              </w:rPr>
            </w:pPr>
          </w:p>
        </w:tc>
        <w:tc>
          <w:tcPr>
            <w:tcW w:w="7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B4E9B0">
            <w:pPr>
              <w:widowControl/>
              <w:rPr>
                <w:rFonts w:hint="eastAsia" w:ascii="仿宋" w:hAnsi="仿宋" w:eastAsia="仿宋" w:cs="仿宋"/>
                <w:snapToGrid w:val="0"/>
                <w:color w:val="auto"/>
                <w:sz w:val="21"/>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2D1E8DF7">
            <w:pPr>
              <w:spacing w:line="320" w:lineRule="exact"/>
              <w:jc w:val="center"/>
              <w:rPr>
                <w:rFonts w:hint="eastAsia" w:ascii="仿宋" w:hAnsi="仿宋" w:eastAsia="仿宋" w:cs="仿宋"/>
                <w:snapToGrid w:val="0"/>
                <w:color w:val="auto"/>
                <w:sz w:val="21"/>
                <w:szCs w:val="21"/>
                <w:highlight w:val="none"/>
              </w:rPr>
            </w:pPr>
            <w:r>
              <w:rPr>
                <w:rFonts w:hint="eastAsia" w:ascii="仿宋" w:hAnsi="仿宋" w:eastAsia="仿宋" w:cs="仿宋"/>
                <w:snapToGrid w:val="0"/>
                <w:color w:val="auto"/>
                <w:sz w:val="21"/>
                <w:szCs w:val="21"/>
                <w:highlight w:val="none"/>
              </w:rPr>
              <w:t>证书名称</w:t>
            </w:r>
          </w:p>
        </w:tc>
        <w:tc>
          <w:tcPr>
            <w:tcW w:w="2288" w:type="dxa"/>
            <w:tcBorders>
              <w:top w:val="single" w:color="000000" w:sz="4" w:space="0"/>
              <w:left w:val="single" w:color="000000" w:sz="4" w:space="0"/>
              <w:bottom w:val="single" w:color="000000" w:sz="4" w:space="0"/>
              <w:right w:val="single" w:color="000000" w:sz="4" w:space="0"/>
            </w:tcBorders>
            <w:noWrap w:val="0"/>
            <w:vAlign w:val="center"/>
          </w:tcPr>
          <w:p w14:paraId="6BFCE447">
            <w:pPr>
              <w:spacing w:line="320" w:lineRule="exact"/>
              <w:jc w:val="center"/>
              <w:rPr>
                <w:rFonts w:hint="eastAsia" w:ascii="仿宋" w:hAnsi="仿宋" w:eastAsia="仿宋" w:cs="仿宋"/>
                <w:snapToGrid w:val="0"/>
                <w:color w:val="auto"/>
                <w:sz w:val="21"/>
                <w:szCs w:val="21"/>
                <w:highlight w:val="none"/>
              </w:rPr>
            </w:pPr>
            <w:r>
              <w:rPr>
                <w:rFonts w:hint="eastAsia" w:ascii="仿宋" w:hAnsi="仿宋" w:eastAsia="仿宋" w:cs="仿宋"/>
                <w:snapToGrid w:val="0"/>
                <w:color w:val="auto"/>
                <w:sz w:val="21"/>
                <w:szCs w:val="21"/>
                <w:highlight w:val="none"/>
              </w:rPr>
              <w:t>证号</w:t>
            </w:r>
          </w:p>
        </w:tc>
        <w:tc>
          <w:tcPr>
            <w:tcW w:w="982" w:type="dxa"/>
            <w:tcBorders>
              <w:top w:val="single" w:color="000000" w:sz="4" w:space="0"/>
              <w:left w:val="single" w:color="000000" w:sz="4" w:space="0"/>
              <w:bottom w:val="single" w:color="000000" w:sz="4" w:space="0"/>
              <w:right w:val="single" w:color="auto" w:sz="4" w:space="0"/>
            </w:tcBorders>
            <w:noWrap w:val="0"/>
            <w:vAlign w:val="center"/>
          </w:tcPr>
          <w:p w14:paraId="0F2C354D">
            <w:pPr>
              <w:spacing w:line="320" w:lineRule="exact"/>
              <w:jc w:val="center"/>
              <w:rPr>
                <w:rFonts w:hint="eastAsia" w:ascii="仿宋" w:hAnsi="仿宋" w:eastAsia="仿宋" w:cs="仿宋"/>
                <w:snapToGrid w:val="0"/>
                <w:color w:val="auto"/>
                <w:sz w:val="21"/>
                <w:szCs w:val="21"/>
                <w:highlight w:val="none"/>
              </w:rPr>
            </w:pPr>
            <w:r>
              <w:rPr>
                <w:rFonts w:hint="eastAsia" w:ascii="仿宋" w:hAnsi="仿宋" w:eastAsia="仿宋" w:cs="仿宋"/>
                <w:snapToGrid w:val="0"/>
                <w:color w:val="auto"/>
                <w:sz w:val="21"/>
                <w:szCs w:val="21"/>
                <w:highlight w:val="none"/>
              </w:rPr>
              <w:t>专业</w:t>
            </w: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36A734">
            <w:pPr>
              <w:widowControl/>
              <w:rPr>
                <w:rFonts w:hint="eastAsia" w:ascii="仿宋" w:hAnsi="仿宋" w:eastAsia="仿宋" w:cs="仿宋"/>
                <w:snapToGrid w:val="0"/>
                <w:color w:val="auto"/>
                <w:sz w:val="21"/>
                <w:szCs w:val="21"/>
                <w:highlight w:val="none"/>
              </w:rPr>
            </w:pPr>
          </w:p>
        </w:tc>
      </w:tr>
      <w:tr w14:paraId="712D0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trPr>
        <w:tc>
          <w:tcPr>
            <w:tcW w:w="788" w:type="dxa"/>
            <w:vMerge w:val="restart"/>
            <w:tcBorders>
              <w:top w:val="single" w:color="000000" w:sz="4" w:space="0"/>
              <w:left w:val="single" w:color="000000" w:sz="4" w:space="0"/>
              <w:bottom w:val="single" w:color="000000" w:sz="4" w:space="0"/>
              <w:right w:val="single" w:color="000000" w:sz="4" w:space="0"/>
            </w:tcBorders>
            <w:noWrap w:val="0"/>
            <w:vAlign w:val="center"/>
          </w:tcPr>
          <w:p w14:paraId="4832A8D9">
            <w:pPr>
              <w:widowControl/>
              <w:spacing w:line="320" w:lineRule="exact"/>
              <w:jc w:val="center"/>
              <w:rPr>
                <w:rFonts w:hint="eastAsia" w:ascii="仿宋" w:hAnsi="仿宋" w:eastAsia="仿宋" w:cs="仿宋"/>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项目负责人</w:t>
            </w:r>
          </w:p>
        </w:tc>
        <w:tc>
          <w:tcPr>
            <w:tcW w:w="856" w:type="dxa"/>
            <w:vMerge w:val="restart"/>
            <w:tcBorders>
              <w:top w:val="single" w:color="000000" w:sz="4" w:space="0"/>
              <w:left w:val="single" w:color="000000" w:sz="4" w:space="0"/>
              <w:bottom w:val="single" w:color="000000" w:sz="4" w:space="0"/>
              <w:right w:val="single" w:color="000000" w:sz="4" w:space="0"/>
            </w:tcBorders>
            <w:noWrap w:val="0"/>
            <w:vAlign w:val="center"/>
          </w:tcPr>
          <w:p w14:paraId="3621E026">
            <w:pPr>
              <w:pStyle w:val="2"/>
              <w:rPr>
                <w:rFonts w:hint="default"/>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 xml:space="preserve"> </w:t>
            </w:r>
          </w:p>
        </w:tc>
        <w:tc>
          <w:tcPr>
            <w:tcW w:w="749" w:type="dxa"/>
            <w:vMerge w:val="restart"/>
            <w:tcBorders>
              <w:top w:val="single" w:color="000000" w:sz="4" w:space="0"/>
              <w:left w:val="single" w:color="000000" w:sz="4" w:space="0"/>
              <w:bottom w:val="single" w:color="000000" w:sz="4" w:space="0"/>
              <w:right w:val="single" w:color="000000" w:sz="4" w:space="0"/>
            </w:tcBorders>
            <w:noWrap w:val="0"/>
            <w:vAlign w:val="center"/>
          </w:tcPr>
          <w:p w14:paraId="5B093C28">
            <w:pPr>
              <w:widowControl/>
              <w:spacing w:line="320" w:lineRule="exact"/>
              <w:jc w:val="center"/>
              <w:rPr>
                <w:rFonts w:hint="default" w:ascii="仿宋" w:hAnsi="仿宋" w:eastAsia="仿宋" w:cs="仿宋"/>
                <w:snapToGrid w:val="0"/>
                <w:color w:val="auto"/>
                <w:sz w:val="21"/>
                <w:szCs w:val="21"/>
                <w:highlight w:val="none"/>
                <w:lang w:val="en-US" w:eastAsia="zh-CN"/>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1CD644AA">
            <w:pPr>
              <w:widowControl/>
              <w:spacing w:line="320" w:lineRule="exact"/>
              <w:jc w:val="center"/>
              <w:rPr>
                <w:rFonts w:hint="default" w:ascii="仿宋" w:hAnsi="仿宋" w:eastAsia="仿宋" w:cs="仿宋"/>
                <w:snapToGrid w:val="0"/>
                <w:color w:val="auto"/>
                <w:sz w:val="21"/>
                <w:szCs w:val="21"/>
                <w:highlight w:val="none"/>
                <w:lang w:val="en-US" w:eastAsia="zh-CN"/>
              </w:rPr>
            </w:pPr>
          </w:p>
        </w:tc>
        <w:tc>
          <w:tcPr>
            <w:tcW w:w="2288" w:type="dxa"/>
            <w:tcBorders>
              <w:top w:val="single" w:color="000000" w:sz="4" w:space="0"/>
              <w:left w:val="single" w:color="000000" w:sz="4" w:space="0"/>
              <w:bottom w:val="single" w:color="000000" w:sz="4" w:space="0"/>
              <w:right w:val="single" w:color="000000" w:sz="4" w:space="0"/>
            </w:tcBorders>
            <w:noWrap w:val="0"/>
            <w:vAlign w:val="center"/>
          </w:tcPr>
          <w:p w14:paraId="3AB94346">
            <w:pPr>
              <w:widowControl/>
              <w:spacing w:line="320" w:lineRule="exact"/>
              <w:jc w:val="center"/>
              <w:rPr>
                <w:rFonts w:hint="eastAsia" w:ascii="仿宋" w:hAnsi="仿宋" w:eastAsia="仿宋" w:cs="仿宋"/>
                <w:snapToGrid w:val="0"/>
                <w:color w:val="auto"/>
                <w:sz w:val="21"/>
                <w:szCs w:val="21"/>
                <w:highlight w:val="none"/>
                <w:lang w:val="en-US" w:eastAsia="zh-CN"/>
              </w:rPr>
            </w:pPr>
          </w:p>
        </w:tc>
        <w:tc>
          <w:tcPr>
            <w:tcW w:w="982" w:type="dxa"/>
            <w:tcBorders>
              <w:top w:val="single" w:color="000000" w:sz="4" w:space="0"/>
              <w:left w:val="single" w:color="000000" w:sz="4" w:space="0"/>
              <w:bottom w:val="single" w:color="000000" w:sz="4" w:space="0"/>
              <w:right w:val="single" w:color="auto" w:sz="4" w:space="0"/>
            </w:tcBorders>
            <w:noWrap w:val="0"/>
            <w:vAlign w:val="center"/>
          </w:tcPr>
          <w:p w14:paraId="3EA02565">
            <w:pPr>
              <w:widowControl/>
              <w:spacing w:line="320" w:lineRule="exact"/>
              <w:jc w:val="center"/>
              <w:rPr>
                <w:rFonts w:hint="eastAsia" w:ascii="仿宋" w:hAnsi="仿宋" w:eastAsia="仿宋" w:cs="仿宋"/>
                <w:snapToGrid w:val="0"/>
                <w:color w:val="auto"/>
                <w:sz w:val="21"/>
                <w:szCs w:val="21"/>
                <w:highlight w:val="none"/>
                <w:lang w:val="en-US" w:eastAsia="zh-CN"/>
              </w:rPr>
            </w:pPr>
          </w:p>
        </w:tc>
        <w:tc>
          <w:tcPr>
            <w:tcW w:w="1590" w:type="dxa"/>
            <w:vMerge w:val="restart"/>
            <w:tcBorders>
              <w:top w:val="single" w:color="000000" w:sz="4" w:space="0"/>
              <w:left w:val="single" w:color="000000" w:sz="4" w:space="0"/>
              <w:bottom w:val="single" w:color="000000" w:sz="4" w:space="0"/>
              <w:right w:val="single" w:color="000000" w:sz="4" w:space="0"/>
            </w:tcBorders>
            <w:noWrap w:val="0"/>
            <w:vAlign w:val="center"/>
          </w:tcPr>
          <w:p w14:paraId="2C5D5709">
            <w:pPr>
              <w:widowControl/>
              <w:spacing w:line="320" w:lineRule="exact"/>
              <w:jc w:val="center"/>
              <w:rPr>
                <w:rFonts w:hint="eastAsia" w:ascii="仿宋" w:hAnsi="仿宋" w:eastAsia="仿宋" w:cs="仿宋"/>
                <w:snapToGrid w:val="0"/>
                <w:color w:val="auto"/>
                <w:sz w:val="21"/>
                <w:szCs w:val="21"/>
                <w:highlight w:val="none"/>
                <w:lang w:val="en-US" w:eastAsia="zh-CN"/>
              </w:rPr>
            </w:pPr>
          </w:p>
        </w:tc>
      </w:tr>
      <w:tr w14:paraId="3ECE4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6837A4">
            <w:pPr>
              <w:widowControl/>
              <w:spacing w:line="320" w:lineRule="exact"/>
              <w:jc w:val="center"/>
              <w:rPr>
                <w:rFonts w:hint="eastAsia" w:ascii="仿宋" w:hAnsi="仿宋" w:eastAsia="仿宋" w:cs="仿宋"/>
                <w:snapToGrid w:val="0"/>
                <w:color w:val="auto"/>
                <w:sz w:val="21"/>
                <w:szCs w:val="21"/>
                <w:highlight w:val="none"/>
                <w:lang w:val="en-US" w:eastAsia="zh-CN"/>
              </w:rPr>
            </w:pPr>
          </w:p>
        </w:tc>
        <w:tc>
          <w:tcPr>
            <w:tcW w:w="85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CAFC6C">
            <w:pPr>
              <w:widowControl/>
              <w:spacing w:line="320" w:lineRule="exact"/>
              <w:jc w:val="center"/>
              <w:rPr>
                <w:rFonts w:hint="eastAsia" w:ascii="仿宋" w:hAnsi="仿宋" w:eastAsia="仿宋" w:cs="仿宋"/>
                <w:snapToGrid w:val="0"/>
                <w:color w:val="auto"/>
                <w:sz w:val="21"/>
                <w:szCs w:val="21"/>
                <w:highlight w:val="none"/>
                <w:lang w:val="en-US" w:eastAsia="zh-CN"/>
              </w:rPr>
            </w:pPr>
          </w:p>
        </w:tc>
        <w:tc>
          <w:tcPr>
            <w:tcW w:w="74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D4A84F">
            <w:pPr>
              <w:widowControl/>
              <w:spacing w:line="320" w:lineRule="exact"/>
              <w:jc w:val="center"/>
              <w:rPr>
                <w:rFonts w:hint="eastAsia" w:ascii="仿宋" w:hAnsi="仿宋" w:eastAsia="仿宋" w:cs="仿宋"/>
                <w:snapToGrid w:val="0"/>
                <w:color w:val="auto"/>
                <w:sz w:val="21"/>
                <w:szCs w:val="21"/>
                <w:highlight w:val="none"/>
                <w:lang w:val="en-US" w:eastAsia="zh-CN"/>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22055ED1">
            <w:pPr>
              <w:widowControl/>
              <w:spacing w:line="320" w:lineRule="exact"/>
              <w:jc w:val="center"/>
              <w:rPr>
                <w:rFonts w:hint="eastAsia" w:ascii="仿宋" w:hAnsi="仿宋" w:eastAsia="仿宋" w:cs="仿宋"/>
                <w:snapToGrid w:val="0"/>
                <w:color w:val="auto"/>
                <w:sz w:val="21"/>
                <w:szCs w:val="21"/>
                <w:highlight w:val="none"/>
                <w:lang w:val="en-US" w:eastAsia="zh-CN"/>
              </w:rPr>
            </w:pPr>
          </w:p>
        </w:tc>
        <w:tc>
          <w:tcPr>
            <w:tcW w:w="2288" w:type="dxa"/>
            <w:tcBorders>
              <w:top w:val="single" w:color="000000" w:sz="4" w:space="0"/>
              <w:left w:val="single" w:color="000000" w:sz="4" w:space="0"/>
              <w:bottom w:val="single" w:color="000000" w:sz="4" w:space="0"/>
              <w:right w:val="single" w:color="000000" w:sz="4" w:space="0"/>
            </w:tcBorders>
            <w:noWrap w:val="0"/>
            <w:vAlign w:val="center"/>
          </w:tcPr>
          <w:p w14:paraId="455ADA87">
            <w:pPr>
              <w:widowControl/>
              <w:spacing w:line="320" w:lineRule="exact"/>
              <w:jc w:val="center"/>
              <w:rPr>
                <w:rFonts w:hint="default" w:ascii="仿宋" w:hAnsi="仿宋" w:eastAsia="仿宋" w:cs="仿宋"/>
                <w:snapToGrid w:val="0"/>
                <w:color w:val="auto"/>
                <w:sz w:val="21"/>
                <w:szCs w:val="21"/>
                <w:highlight w:val="none"/>
                <w:lang w:val="en-US" w:eastAsia="zh-CN"/>
              </w:rPr>
            </w:pPr>
          </w:p>
        </w:tc>
        <w:tc>
          <w:tcPr>
            <w:tcW w:w="982" w:type="dxa"/>
            <w:tcBorders>
              <w:top w:val="single" w:color="000000" w:sz="4" w:space="0"/>
              <w:left w:val="single" w:color="000000" w:sz="4" w:space="0"/>
              <w:bottom w:val="single" w:color="000000" w:sz="4" w:space="0"/>
              <w:right w:val="single" w:color="auto" w:sz="4" w:space="0"/>
            </w:tcBorders>
            <w:noWrap w:val="0"/>
            <w:vAlign w:val="center"/>
          </w:tcPr>
          <w:p w14:paraId="62AD2569">
            <w:pPr>
              <w:widowControl/>
              <w:spacing w:line="320" w:lineRule="exact"/>
              <w:jc w:val="center"/>
              <w:rPr>
                <w:rFonts w:hint="default" w:ascii="仿宋" w:hAnsi="仿宋" w:eastAsia="仿宋" w:cs="仿宋"/>
                <w:snapToGrid w:val="0"/>
                <w:color w:val="auto"/>
                <w:sz w:val="21"/>
                <w:szCs w:val="21"/>
                <w:highlight w:val="none"/>
                <w:lang w:val="en-US" w:eastAsia="zh-CN"/>
              </w:rPr>
            </w:pPr>
          </w:p>
        </w:tc>
        <w:tc>
          <w:tcPr>
            <w:tcW w:w="15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932DBD">
            <w:pPr>
              <w:widowControl/>
              <w:spacing w:line="320" w:lineRule="exact"/>
              <w:jc w:val="center"/>
              <w:rPr>
                <w:rFonts w:hint="eastAsia" w:ascii="仿宋" w:hAnsi="仿宋" w:eastAsia="仿宋" w:cs="仿宋"/>
                <w:snapToGrid w:val="0"/>
                <w:color w:val="auto"/>
                <w:sz w:val="21"/>
                <w:szCs w:val="21"/>
                <w:highlight w:val="none"/>
                <w:lang w:val="en-US" w:eastAsia="zh-CN"/>
              </w:rPr>
            </w:pPr>
          </w:p>
        </w:tc>
      </w:tr>
      <w:tr w14:paraId="5513E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8" w:type="dxa"/>
            <w:tcBorders>
              <w:top w:val="single" w:color="000000" w:sz="4" w:space="0"/>
              <w:left w:val="single" w:color="000000" w:sz="4" w:space="0"/>
              <w:bottom w:val="single" w:color="000000" w:sz="4" w:space="0"/>
              <w:right w:val="single" w:color="000000" w:sz="4" w:space="0"/>
            </w:tcBorders>
            <w:noWrap w:val="0"/>
            <w:vAlign w:val="center"/>
          </w:tcPr>
          <w:p w14:paraId="0E440B08">
            <w:pPr>
              <w:widowControl/>
              <w:spacing w:line="320" w:lineRule="exact"/>
              <w:jc w:val="center"/>
              <w:rPr>
                <w:rFonts w:hint="default" w:ascii="仿宋" w:hAnsi="仿宋" w:eastAsia="仿宋" w:cs="仿宋"/>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技术负责人</w:t>
            </w:r>
          </w:p>
        </w:tc>
        <w:tc>
          <w:tcPr>
            <w:tcW w:w="856" w:type="dxa"/>
            <w:tcBorders>
              <w:top w:val="single" w:color="000000" w:sz="4" w:space="0"/>
              <w:left w:val="single" w:color="000000" w:sz="4" w:space="0"/>
              <w:bottom w:val="single" w:color="000000" w:sz="4" w:space="0"/>
              <w:right w:val="single" w:color="000000" w:sz="4" w:space="0"/>
            </w:tcBorders>
            <w:noWrap w:val="0"/>
            <w:vAlign w:val="center"/>
          </w:tcPr>
          <w:p w14:paraId="0A4ECD55">
            <w:pPr>
              <w:widowControl/>
              <w:spacing w:line="320" w:lineRule="exact"/>
              <w:jc w:val="center"/>
              <w:rPr>
                <w:rFonts w:hint="default" w:ascii="仿宋" w:hAnsi="仿宋" w:eastAsia="仿宋" w:cs="仿宋"/>
                <w:snapToGrid w:val="0"/>
                <w:color w:val="auto"/>
                <w:sz w:val="21"/>
                <w:szCs w:val="21"/>
                <w:highlight w:val="none"/>
                <w:lang w:val="en-US" w:eastAsia="zh-CN"/>
              </w:rPr>
            </w:pPr>
          </w:p>
        </w:tc>
        <w:tc>
          <w:tcPr>
            <w:tcW w:w="749" w:type="dxa"/>
            <w:tcBorders>
              <w:top w:val="single" w:color="000000" w:sz="4" w:space="0"/>
              <w:left w:val="single" w:color="000000" w:sz="4" w:space="0"/>
              <w:bottom w:val="single" w:color="000000" w:sz="4" w:space="0"/>
              <w:right w:val="single" w:color="000000" w:sz="4" w:space="0"/>
            </w:tcBorders>
            <w:noWrap w:val="0"/>
            <w:vAlign w:val="center"/>
          </w:tcPr>
          <w:p w14:paraId="4542F0A4">
            <w:pPr>
              <w:widowControl/>
              <w:spacing w:line="320" w:lineRule="exact"/>
              <w:jc w:val="center"/>
              <w:rPr>
                <w:rFonts w:hint="default" w:ascii="仿宋" w:hAnsi="仿宋" w:eastAsia="仿宋" w:cs="仿宋"/>
                <w:snapToGrid w:val="0"/>
                <w:color w:val="auto"/>
                <w:sz w:val="21"/>
                <w:szCs w:val="21"/>
                <w:highlight w:val="none"/>
                <w:lang w:val="en-US" w:eastAsia="zh-CN"/>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7E1AB563">
            <w:pPr>
              <w:widowControl/>
              <w:spacing w:line="320" w:lineRule="exact"/>
              <w:jc w:val="center"/>
              <w:rPr>
                <w:rFonts w:hint="default" w:ascii="仿宋" w:hAnsi="仿宋" w:eastAsia="仿宋" w:cs="仿宋"/>
                <w:snapToGrid w:val="0"/>
                <w:color w:val="auto"/>
                <w:sz w:val="21"/>
                <w:szCs w:val="21"/>
                <w:highlight w:val="none"/>
                <w:lang w:val="en-US" w:eastAsia="zh-CN"/>
              </w:rPr>
            </w:pPr>
          </w:p>
        </w:tc>
        <w:tc>
          <w:tcPr>
            <w:tcW w:w="2288" w:type="dxa"/>
            <w:tcBorders>
              <w:top w:val="single" w:color="000000" w:sz="4" w:space="0"/>
              <w:left w:val="single" w:color="000000" w:sz="4" w:space="0"/>
              <w:bottom w:val="single" w:color="000000" w:sz="4" w:space="0"/>
              <w:right w:val="single" w:color="000000" w:sz="4" w:space="0"/>
            </w:tcBorders>
            <w:noWrap w:val="0"/>
            <w:vAlign w:val="center"/>
          </w:tcPr>
          <w:p w14:paraId="061DFF06">
            <w:pPr>
              <w:widowControl/>
              <w:spacing w:line="320" w:lineRule="exact"/>
              <w:jc w:val="center"/>
              <w:rPr>
                <w:rFonts w:hint="eastAsia" w:ascii="仿宋" w:hAnsi="仿宋" w:eastAsia="仿宋" w:cs="仿宋"/>
                <w:snapToGrid w:val="0"/>
                <w:color w:val="auto"/>
                <w:sz w:val="21"/>
                <w:szCs w:val="21"/>
                <w:highlight w:val="none"/>
                <w:lang w:val="en-US" w:eastAsia="zh-CN"/>
              </w:rPr>
            </w:pPr>
          </w:p>
        </w:tc>
        <w:tc>
          <w:tcPr>
            <w:tcW w:w="982" w:type="dxa"/>
            <w:tcBorders>
              <w:top w:val="single" w:color="000000" w:sz="4" w:space="0"/>
              <w:left w:val="single" w:color="000000" w:sz="4" w:space="0"/>
              <w:bottom w:val="single" w:color="000000" w:sz="4" w:space="0"/>
              <w:right w:val="single" w:color="auto" w:sz="4" w:space="0"/>
            </w:tcBorders>
            <w:noWrap w:val="0"/>
            <w:vAlign w:val="center"/>
          </w:tcPr>
          <w:p w14:paraId="4401B839">
            <w:pPr>
              <w:widowControl/>
              <w:spacing w:line="320" w:lineRule="exact"/>
              <w:jc w:val="center"/>
              <w:rPr>
                <w:rFonts w:hint="default" w:ascii="仿宋" w:hAnsi="仿宋" w:eastAsia="仿宋" w:cs="仿宋"/>
                <w:snapToGrid w:val="0"/>
                <w:color w:val="auto"/>
                <w:sz w:val="21"/>
                <w:szCs w:val="21"/>
                <w:highlight w:val="none"/>
                <w:lang w:val="en-US" w:eastAsia="zh-CN"/>
              </w:rPr>
            </w:pP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61F37F8E">
            <w:pPr>
              <w:widowControl/>
              <w:spacing w:line="320" w:lineRule="exact"/>
              <w:jc w:val="center"/>
              <w:rPr>
                <w:rFonts w:hint="eastAsia" w:ascii="仿宋" w:hAnsi="仿宋" w:eastAsia="仿宋" w:cs="仿宋"/>
                <w:snapToGrid w:val="0"/>
                <w:color w:val="auto"/>
                <w:sz w:val="21"/>
                <w:szCs w:val="21"/>
                <w:highlight w:val="none"/>
                <w:lang w:val="en-US" w:eastAsia="zh-CN"/>
              </w:rPr>
            </w:pPr>
          </w:p>
        </w:tc>
      </w:tr>
      <w:tr w14:paraId="7E838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8" w:type="dxa"/>
            <w:tcBorders>
              <w:top w:val="single" w:color="000000" w:sz="4" w:space="0"/>
              <w:left w:val="single" w:color="000000" w:sz="4" w:space="0"/>
              <w:bottom w:val="single" w:color="000000" w:sz="4" w:space="0"/>
              <w:right w:val="single" w:color="000000" w:sz="4" w:space="0"/>
            </w:tcBorders>
            <w:noWrap w:val="0"/>
            <w:vAlign w:val="center"/>
          </w:tcPr>
          <w:p w14:paraId="544593DE">
            <w:pPr>
              <w:widowControl/>
              <w:spacing w:line="320" w:lineRule="exact"/>
              <w:jc w:val="center"/>
              <w:rPr>
                <w:rFonts w:hint="default" w:ascii="仿宋" w:hAnsi="仿宋" w:eastAsia="仿宋" w:cs="仿宋"/>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施工员</w:t>
            </w:r>
          </w:p>
        </w:tc>
        <w:tc>
          <w:tcPr>
            <w:tcW w:w="856" w:type="dxa"/>
            <w:tcBorders>
              <w:top w:val="single" w:color="000000" w:sz="4" w:space="0"/>
              <w:left w:val="single" w:color="000000" w:sz="4" w:space="0"/>
              <w:bottom w:val="single" w:color="000000" w:sz="4" w:space="0"/>
              <w:right w:val="single" w:color="000000" w:sz="4" w:space="0"/>
            </w:tcBorders>
            <w:noWrap w:val="0"/>
            <w:vAlign w:val="center"/>
          </w:tcPr>
          <w:p w14:paraId="040E930C">
            <w:pPr>
              <w:widowControl/>
              <w:spacing w:line="320" w:lineRule="exact"/>
              <w:jc w:val="center"/>
              <w:rPr>
                <w:rFonts w:hint="default" w:ascii="仿宋" w:hAnsi="仿宋" w:eastAsia="仿宋" w:cs="仿宋"/>
                <w:snapToGrid w:val="0"/>
                <w:color w:val="auto"/>
                <w:sz w:val="21"/>
                <w:szCs w:val="21"/>
                <w:highlight w:val="none"/>
                <w:lang w:val="en-US" w:eastAsia="zh-CN"/>
              </w:rPr>
            </w:pPr>
          </w:p>
        </w:tc>
        <w:tc>
          <w:tcPr>
            <w:tcW w:w="749" w:type="dxa"/>
            <w:tcBorders>
              <w:top w:val="single" w:color="000000" w:sz="4" w:space="0"/>
              <w:left w:val="single" w:color="000000" w:sz="4" w:space="0"/>
              <w:bottom w:val="single" w:color="000000" w:sz="4" w:space="0"/>
              <w:right w:val="single" w:color="000000" w:sz="4" w:space="0"/>
            </w:tcBorders>
            <w:noWrap w:val="0"/>
            <w:vAlign w:val="center"/>
          </w:tcPr>
          <w:p w14:paraId="54975BB4">
            <w:pPr>
              <w:widowControl/>
              <w:spacing w:line="320" w:lineRule="exact"/>
              <w:jc w:val="center"/>
              <w:rPr>
                <w:rFonts w:hint="eastAsia" w:ascii="仿宋" w:hAnsi="仿宋" w:eastAsia="仿宋" w:cs="仿宋"/>
                <w:snapToGrid w:val="0"/>
                <w:color w:val="auto"/>
                <w:sz w:val="21"/>
                <w:szCs w:val="21"/>
                <w:highlight w:val="none"/>
                <w:lang w:val="en-US" w:eastAsia="zh-CN"/>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518F0591">
            <w:pPr>
              <w:widowControl/>
              <w:spacing w:line="320" w:lineRule="exact"/>
              <w:jc w:val="center"/>
              <w:rPr>
                <w:rFonts w:hint="default" w:ascii="仿宋" w:hAnsi="仿宋" w:eastAsia="仿宋" w:cs="仿宋"/>
                <w:snapToGrid w:val="0"/>
                <w:color w:val="auto"/>
                <w:sz w:val="21"/>
                <w:szCs w:val="21"/>
                <w:highlight w:val="none"/>
                <w:lang w:val="en-US" w:eastAsia="zh-CN"/>
              </w:rPr>
            </w:pPr>
          </w:p>
        </w:tc>
        <w:tc>
          <w:tcPr>
            <w:tcW w:w="2288" w:type="dxa"/>
            <w:tcBorders>
              <w:top w:val="single" w:color="000000" w:sz="4" w:space="0"/>
              <w:left w:val="single" w:color="000000" w:sz="4" w:space="0"/>
              <w:bottom w:val="single" w:color="000000" w:sz="4" w:space="0"/>
              <w:right w:val="single" w:color="000000" w:sz="4" w:space="0"/>
            </w:tcBorders>
            <w:noWrap w:val="0"/>
            <w:vAlign w:val="center"/>
          </w:tcPr>
          <w:p w14:paraId="1F602C77">
            <w:pPr>
              <w:widowControl/>
              <w:spacing w:line="320" w:lineRule="exact"/>
              <w:jc w:val="center"/>
              <w:rPr>
                <w:rFonts w:hint="default" w:ascii="仿宋" w:hAnsi="仿宋" w:eastAsia="仿宋" w:cs="仿宋"/>
                <w:snapToGrid w:val="0"/>
                <w:color w:val="auto"/>
                <w:sz w:val="21"/>
                <w:szCs w:val="21"/>
                <w:highlight w:val="none"/>
                <w:lang w:val="en-US" w:eastAsia="zh-CN"/>
              </w:rPr>
            </w:pPr>
          </w:p>
        </w:tc>
        <w:tc>
          <w:tcPr>
            <w:tcW w:w="982" w:type="dxa"/>
            <w:tcBorders>
              <w:top w:val="single" w:color="000000" w:sz="4" w:space="0"/>
              <w:left w:val="single" w:color="000000" w:sz="4" w:space="0"/>
              <w:bottom w:val="single" w:color="000000" w:sz="4" w:space="0"/>
              <w:right w:val="single" w:color="auto" w:sz="4" w:space="0"/>
            </w:tcBorders>
            <w:noWrap w:val="0"/>
            <w:vAlign w:val="center"/>
          </w:tcPr>
          <w:p w14:paraId="39AAE7B8">
            <w:pPr>
              <w:widowControl/>
              <w:spacing w:line="320" w:lineRule="exact"/>
              <w:jc w:val="center"/>
              <w:rPr>
                <w:rFonts w:hint="default" w:ascii="仿宋" w:hAnsi="仿宋" w:eastAsia="仿宋" w:cs="仿宋"/>
                <w:snapToGrid w:val="0"/>
                <w:color w:val="auto"/>
                <w:sz w:val="21"/>
                <w:szCs w:val="21"/>
                <w:highlight w:val="none"/>
                <w:lang w:val="en-US" w:eastAsia="zh-CN"/>
              </w:rPr>
            </w:pP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1B705A74">
            <w:pPr>
              <w:widowControl/>
              <w:spacing w:line="320" w:lineRule="exact"/>
              <w:jc w:val="center"/>
              <w:rPr>
                <w:rFonts w:hint="eastAsia" w:ascii="仿宋" w:hAnsi="仿宋" w:eastAsia="仿宋" w:cs="仿宋"/>
                <w:snapToGrid w:val="0"/>
                <w:color w:val="auto"/>
                <w:sz w:val="21"/>
                <w:szCs w:val="21"/>
                <w:highlight w:val="none"/>
                <w:lang w:val="en-US" w:eastAsia="zh-CN"/>
              </w:rPr>
            </w:pPr>
          </w:p>
        </w:tc>
      </w:tr>
      <w:tr w14:paraId="016C1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88" w:type="dxa"/>
            <w:tcBorders>
              <w:top w:val="single" w:color="000000" w:sz="4" w:space="0"/>
              <w:left w:val="single" w:color="000000" w:sz="4" w:space="0"/>
              <w:bottom w:val="single" w:color="000000" w:sz="4" w:space="0"/>
              <w:right w:val="single" w:color="000000" w:sz="4" w:space="0"/>
            </w:tcBorders>
            <w:noWrap w:val="0"/>
            <w:vAlign w:val="center"/>
          </w:tcPr>
          <w:p w14:paraId="7955DC86">
            <w:pPr>
              <w:widowControl/>
              <w:spacing w:line="320" w:lineRule="exact"/>
              <w:jc w:val="center"/>
              <w:rPr>
                <w:rFonts w:hint="default" w:ascii="仿宋" w:hAnsi="仿宋" w:eastAsia="仿宋" w:cs="仿宋"/>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安全员</w:t>
            </w:r>
          </w:p>
        </w:tc>
        <w:tc>
          <w:tcPr>
            <w:tcW w:w="856" w:type="dxa"/>
            <w:tcBorders>
              <w:top w:val="single" w:color="000000" w:sz="4" w:space="0"/>
              <w:left w:val="single" w:color="000000" w:sz="4" w:space="0"/>
              <w:bottom w:val="single" w:color="000000" w:sz="4" w:space="0"/>
              <w:right w:val="single" w:color="000000" w:sz="4" w:space="0"/>
            </w:tcBorders>
            <w:noWrap w:val="0"/>
            <w:vAlign w:val="center"/>
          </w:tcPr>
          <w:p w14:paraId="3007F89B">
            <w:pPr>
              <w:widowControl/>
              <w:spacing w:line="320" w:lineRule="exact"/>
              <w:jc w:val="center"/>
              <w:rPr>
                <w:rFonts w:hint="default" w:ascii="仿宋" w:hAnsi="仿宋" w:eastAsia="仿宋" w:cs="仿宋"/>
                <w:snapToGrid w:val="0"/>
                <w:color w:val="auto"/>
                <w:sz w:val="21"/>
                <w:szCs w:val="21"/>
                <w:highlight w:val="none"/>
                <w:lang w:val="en-US" w:eastAsia="zh-CN"/>
              </w:rPr>
            </w:pPr>
          </w:p>
        </w:tc>
        <w:tc>
          <w:tcPr>
            <w:tcW w:w="749" w:type="dxa"/>
            <w:tcBorders>
              <w:top w:val="single" w:color="000000" w:sz="4" w:space="0"/>
              <w:left w:val="single" w:color="000000" w:sz="4" w:space="0"/>
              <w:bottom w:val="single" w:color="000000" w:sz="4" w:space="0"/>
              <w:right w:val="single" w:color="000000" w:sz="4" w:space="0"/>
            </w:tcBorders>
            <w:noWrap w:val="0"/>
            <w:vAlign w:val="center"/>
          </w:tcPr>
          <w:p w14:paraId="6771B44F">
            <w:pPr>
              <w:widowControl/>
              <w:spacing w:line="320" w:lineRule="exact"/>
              <w:jc w:val="center"/>
              <w:rPr>
                <w:rFonts w:hint="default" w:ascii="仿宋" w:hAnsi="仿宋" w:eastAsia="仿宋" w:cs="仿宋"/>
                <w:snapToGrid w:val="0"/>
                <w:color w:val="auto"/>
                <w:sz w:val="21"/>
                <w:szCs w:val="21"/>
                <w:highlight w:val="none"/>
                <w:lang w:val="en-US" w:eastAsia="zh-CN"/>
              </w:rPr>
            </w:pPr>
          </w:p>
        </w:tc>
        <w:tc>
          <w:tcPr>
            <w:tcW w:w="1155" w:type="dxa"/>
            <w:tcBorders>
              <w:top w:val="single" w:color="000000" w:sz="4" w:space="0"/>
              <w:left w:val="single" w:color="000000" w:sz="4" w:space="0"/>
              <w:bottom w:val="single" w:color="000000" w:sz="4" w:space="0"/>
              <w:right w:val="single" w:color="000000" w:sz="4" w:space="0"/>
            </w:tcBorders>
            <w:noWrap w:val="0"/>
            <w:vAlign w:val="center"/>
          </w:tcPr>
          <w:p w14:paraId="7DC0A8AC">
            <w:pPr>
              <w:widowControl/>
              <w:spacing w:line="320" w:lineRule="exact"/>
              <w:jc w:val="center"/>
              <w:rPr>
                <w:rFonts w:hint="default" w:ascii="仿宋" w:hAnsi="仿宋" w:eastAsia="仿宋" w:cs="仿宋"/>
                <w:snapToGrid w:val="0"/>
                <w:color w:val="auto"/>
                <w:sz w:val="21"/>
                <w:szCs w:val="21"/>
                <w:highlight w:val="none"/>
                <w:lang w:val="en-US" w:eastAsia="zh-CN"/>
              </w:rPr>
            </w:pPr>
          </w:p>
        </w:tc>
        <w:tc>
          <w:tcPr>
            <w:tcW w:w="2288" w:type="dxa"/>
            <w:tcBorders>
              <w:top w:val="single" w:color="000000" w:sz="4" w:space="0"/>
              <w:left w:val="single" w:color="000000" w:sz="4" w:space="0"/>
              <w:bottom w:val="single" w:color="000000" w:sz="4" w:space="0"/>
              <w:right w:val="single" w:color="000000" w:sz="4" w:space="0"/>
            </w:tcBorders>
            <w:noWrap w:val="0"/>
            <w:vAlign w:val="center"/>
          </w:tcPr>
          <w:p w14:paraId="2E9067C7">
            <w:pPr>
              <w:widowControl/>
              <w:spacing w:line="320" w:lineRule="exact"/>
              <w:jc w:val="center"/>
              <w:rPr>
                <w:rFonts w:hint="default" w:ascii="仿宋" w:hAnsi="仿宋" w:eastAsia="仿宋" w:cs="仿宋"/>
                <w:snapToGrid w:val="0"/>
                <w:color w:val="auto"/>
                <w:sz w:val="21"/>
                <w:szCs w:val="21"/>
                <w:highlight w:val="none"/>
                <w:lang w:val="en-US" w:eastAsia="zh-CN"/>
              </w:rPr>
            </w:pPr>
          </w:p>
        </w:tc>
        <w:tc>
          <w:tcPr>
            <w:tcW w:w="982" w:type="dxa"/>
            <w:tcBorders>
              <w:top w:val="single" w:color="000000" w:sz="4" w:space="0"/>
              <w:left w:val="single" w:color="000000" w:sz="4" w:space="0"/>
              <w:bottom w:val="single" w:color="000000" w:sz="4" w:space="0"/>
              <w:right w:val="single" w:color="auto" w:sz="4" w:space="0"/>
            </w:tcBorders>
            <w:noWrap w:val="0"/>
            <w:vAlign w:val="center"/>
          </w:tcPr>
          <w:p w14:paraId="4B8185D7">
            <w:pPr>
              <w:widowControl/>
              <w:spacing w:line="320" w:lineRule="exact"/>
              <w:jc w:val="center"/>
              <w:rPr>
                <w:rFonts w:hint="default" w:ascii="仿宋" w:hAnsi="仿宋" w:eastAsia="仿宋" w:cs="仿宋"/>
                <w:snapToGrid w:val="0"/>
                <w:color w:val="auto"/>
                <w:sz w:val="21"/>
                <w:szCs w:val="21"/>
                <w:highlight w:val="none"/>
                <w:lang w:val="en-US" w:eastAsia="zh-CN"/>
              </w:rPr>
            </w:pP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7B9CAFDA">
            <w:pPr>
              <w:widowControl/>
              <w:spacing w:line="320" w:lineRule="exact"/>
              <w:jc w:val="center"/>
              <w:rPr>
                <w:rFonts w:hint="eastAsia" w:ascii="仿宋" w:hAnsi="仿宋" w:eastAsia="仿宋" w:cs="仿宋"/>
                <w:snapToGrid w:val="0"/>
                <w:color w:val="auto"/>
                <w:sz w:val="21"/>
                <w:szCs w:val="21"/>
                <w:highlight w:val="none"/>
                <w:lang w:val="en-US" w:eastAsia="zh-CN"/>
              </w:rPr>
            </w:pPr>
          </w:p>
        </w:tc>
      </w:tr>
    </w:tbl>
    <w:p w14:paraId="733F2DCD">
      <w:pPr>
        <w:pageBreakBefore w:val="0"/>
        <w:shd w:val="clear"/>
        <w:bidi w:val="0"/>
        <w:adjustRightInd w:val="0"/>
        <w:snapToGrid w:val="0"/>
        <w:spacing w:beforeAutospacing="0" w:afterAutospacing="0" w:line="568" w:lineRule="exact"/>
        <w:ind w:firstLine="441" w:firstLineChars="210"/>
        <w:jc w:val="left"/>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3.3.1 承包人提交项目管理机构及施工现场管理人员安排报告的期限：</w:t>
      </w:r>
      <w:r>
        <w:rPr>
          <w:rFonts w:hint="eastAsia" w:ascii="仿宋" w:hAnsi="仿宋" w:eastAsia="仿宋" w:cs="仿宋"/>
          <w:color w:val="auto"/>
          <w:sz w:val="21"/>
          <w:szCs w:val="21"/>
          <w:highlight w:val="none"/>
          <w:u w:val="single"/>
          <w:lang w:eastAsia="zh-CN"/>
        </w:rPr>
        <w:t>合同签订后</w:t>
      </w:r>
      <w:r>
        <w:rPr>
          <w:rFonts w:hint="eastAsia" w:ascii="仿宋" w:hAnsi="仿宋" w:eastAsia="仿宋" w:cs="仿宋"/>
          <w:color w:val="auto"/>
          <w:sz w:val="21"/>
          <w:szCs w:val="21"/>
          <w:highlight w:val="none"/>
          <w:u w:val="single"/>
          <w:lang w:val="en-US" w:eastAsia="zh-CN"/>
        </w:rPr>
        <w:t>7日内</w:t>
      </w:r>
      <w:r>
        <w:rPr>
          <w:rFonts w:hint="eastAsia" w:ascii="仿宋" w:hAnsi="仿宋" w:eastAsia="仿宋" w:cs="仿宋"/>
          <w:color w:val="auto"/>
          <w:sz w:val="21"/>
          <w:szCs w:val="21"/>
          <w:highlight w:val="none"/>
          <w:u w:val="single"/>
        </w:rPr>
        <w:t>。</w:t>
      </w:r>
    </w:p>
    <w:p w14:paraId="74A86F50">
      <w:pPr>
        <w:pageBreakBefore w:val="0"/>
        <w:shd w:val="clear"/>
        <w:bidi w:val="0"/>
        <w:adjustRightInd w:val="0"/>
        <w:snapToGrid w:val="0"/>
        <w:spacing w:beforeAutospacing="0" w:afterAutospacing="0" w:line="568" w:lineRule="exact"/>
        <w:ind w:firstLine="441" w:firstLineChars="21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rPr>
        <w:t>.3.</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rPr>
        <w:t>承包人无正当理由拒绝撤换主要施工管理人员的违约责任：</w:t>
      </w:r>
      <w:r>
        <w:rPr>
          <w:rFonts w:hint="eastAsia" w:ascii="仿宋" w:hAnsi="仿宋" w:eastAsia="仿宋" w:cs="仿宋"/>
          <w:color w:val="auto"/>
          <w:sz w:val="21"/>
          <w:szCs w:val="21"/>
          <w:highlight w:val="none"/>
          <w:u w:val="single"/>
        </w:rPr>
        <w:t>承包人承担违约带来的一切经济损失，且发包人保留对承包人追究相应责任的权利。</w:t>
      </w:r>
    </w:p>
    <w:p w14:paraId="033D15F5">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3.3.4 承包人主要施工管理人员离开施工现场的批准要求：</w:t>
      </w:r>
      <w:r>
        <w:rPr>
          <w:rFonts w:hint="eastAsia" w:ascii="仿宋" w:hAnsi="仿宋" w:eastAsia="仿宋" w:cs="仿宋"/>
          <w:color w:val="auto"/>
          <w:sz w:val="21"/>
          <w:szCs w:val="21"/>
          <w:highlight w:val="none"/>
          <w:u w:val="single"/>
        </w:rPr>
        <w:t>经发包人书面认可方可离开。</w:t>
      </w:r>
    </w:p>
    <w:p w14:paraId="5C2C8F63">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3.3.5 承包人擅自更换主要施工管理人员的违约责任：</w:t>
      </w:r>
      <w:r>
        <w:rPr>
          <w:rFonts w:hint="eastAsia" w:ascii="仿宋" w:hAnsi="仿宋" w:eastAsia="仿宋" w:cs="仿宋"/>
          <w:color w:val="auto"/>
          <w:sz w:val="21"/>
          <w:szCs w:val="21"/>
          <w:highlight w:val="none"/>
          <w:u w:val="single"/>
        </w:rPr>
        <w:t>导致工程造价增加或工程进度滞后，承包人负全责。</w:t>
      </w:r>
    </w:p>
    <w:p w14:paraId="7C6261E1">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承包人主要施工管理人员擅自离开施工现场的违约责任：</w:t>
      </w:r>
      <w:r>
        <w:rPr>
          <w:rFonts w:hint="eastAsia" w:ascii="仿宋" w:hAnsi="仿宋" w:eastAsia="仿宋" w:cs="仿宋"/>
          <w:color w:val="auto"/>
          <w:sz w:val="21"/>
          <w:szCs w:val="21"/>
          <w:highlight w:val="none"/>
          <w:u w:val="single"/>
        </w:rPr>
        <w:t>承包人按每天每人次2000元的标准向发包人支付违约金。</w:t>
      </w:r>
    </w:p>
    <w:p w14:paraId="706A9105">
      <w:pPr>
        <w:pageBreakBefore w:val="0"/>
        <w:shd w:val="clear"/>
        <w:bidi w:val="0"/>
        <w:adjustRightInd w:val="0"/>
        <w:snapToGrid w:val="0"/>
        <w:spacing w:beforeAutospacing="0" w:afterAutospacing="0" w:line="568" w:lineRule="exact"/>
        <w:ind w:firstLine="441" w:firstLineChars="209"/>
        <w:jc w:val="left"/>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3.5分包</w:t>
      </w:r>
    </w:p>
    <w:p w14:paraId="1D094E99">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u w:val="none"/>
        </w:rPr>
      </w:pPr>
      <w:bookmarkStart w:id="38" w:name="_Toc297216153"/>
      <w:bookmarkStart w:id="39" w:name="_Toc312677989"/>
      <w:bookmarkStart w:id="40" w:name="_Toc296346662"/>
      <w:bookmarkStart w:id="41" w:name="_Toc296347160"/>
      <w:bookmarkStart w:id="42" w:name="_Toc296891201"/>
      <w:bookmarkStart w:id="43" w:name="_Toc318581158"/>
      <w:bookmarkStart w:id="44" w:name="_Toc300934947"/>
      <w:bookmarkStart w:id="45" w:name="_Toc297123494"/>
      <w:bookmarkStart w:id="46" w:name="_Toc303539104"/>
      <w:bookmarkStart w:id="47" w:name="_Toc297120461"/>
      <w:bookmarkStart w:id="48" w:name="_Toc296944500"/>
      <w:bookmarkStart w:id="49" w:name="_Toc296503161"/>
      <w:bookmarkStart w:id="50" w:name="_Toc297048347"/>
      <w:bookmarkStart w:id="51" w:name="_Toc304295525"/>
      <w:bookmarkStart w:id="52" w:name="_Toc296890989"/>
      <w:r>
        <w:rPr>
          <w:rFonts w:hint="eastAsia" w:ascii="仿宋" w:hAnsi="仿宋" w:eastAsia="仿宋" w:cs="仿宋"/>
          <w:color w:val="auto"/>
          <w:sz w:val="21"/>
          <w:szCs w:val="21"/>
          <w:highlight w:val="none"/>
          <w:u w:val="none"/>
        </w:rPr>
        <w:t>3.5.1 分包的一般约定</w:t>
      </w:r>
    </w:p>
    <w:p w14:paraId="3C4D1707">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u w:val="none"/>
        </w:rPr>
        <w:t>禁止分包的工程包括：</w:t>
      </w:r>
      <w:r>
        <w:rPr>
          <w:rFonts w:hint="eastAsia" w:ascii="仿宋" w:hAnsi="仿宋" w:eastAsia="仿宋" w:cs="仿宋"/>
          <w:color w:val="auto"/>
          <w:sz w:val="21"/>
          <w:szCs w:val="21"/>
          <w:highlight w:val="none"/>
          <w:u w:val="single"/>
          <w:lang w:val="en-US" w:eastAsia="zh-CN"/>
        </w:rPr>
        <w:t>/</w:t>
      </w:r>
      <w:r>
        <w:rPr>
          <w:rFonts w:hint="eastAsia" w:ascii="仿宋" w:hAnsi="仿宋" w:eastAsia="仿宋" w:cs="仿宋"/>
          <w:color w:val="auto"/>
          <w:sz w:val="21"/>
          <w:szCs w:val="21"/>
          <w:highlight w:val="none"/>
          <w:u w:val="single"/>
        </w:rPr>
        <w:t>。</w:t>
      </w:r>
    </w:p>
    <w:p w14:paraId="4993199D">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u w:val="none"/>
        </w:rPr>
        <w:t>主体结构、关键性工作的范围：</w:t>
      </w:r>
      <w:r>
        <w:rPr>
          <w:rFonts w:hint="eastAsia" w:ascii="仿宋" w:hAnsi="仿宋" w:eastAsia="仿宋" w:cs="仿宋"/>
          <w:color w:val="auto"/>
          <w:sz w:val="21"/>
          <w:szCs w:val="21"/>
          <w:highlight w:val="none"/>
          <w:u w:val="single"/>
        </w:rPr>
        <w:t>/。</w:t>
      </w:r>
    </w:p>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14:paraId="06C3A687">
      <w:pPr>
        <w:pageBreakBefore w:val="0"/>
        <w:shd w:val="clear"/>
        <w:bidi w:val="0"/>
        <w:adjustRightInd w:val="0"/>
        <w:snapToGrid w:val="0"/>
        <w:spacing w:beforeAutospacing="0" w:afterAutospacing="0" w:line="568"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    3</w:t>
      </w:r>
      <w:bookmarkStart w:id="53" w:name="_Toc312677990"/>
      <w:bookmarkStart w:id="54" w:name="_Toc318581159"/>
      <w:r>
        <w:rPr>
          <w:rFonts w:hint="eastAsia" w:ascii="仿宋" w:hAnsi="仿宋" w:eastAsia="仿宋" w:cs="仿宋"/>
          <w:color w:val="auto"/>
          <w:sz w:val="21"/>
          <w:szCs w:val="21"/>
          <w:highlight w:val="none"/>
        </w:rPr>
        <w:t>.5.2分包的确定</w:t>
      </w:r>
    </w:p>
    <w:p w14:paraId="4038E037">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允许分包的工程包括：</w:t>
      </w:r>
      <w:r>
        <w:rPr>
          <w:rFonts w:hint="eastAsia" w:ascii="仿宋" w:hAnsi="仿宋" w:eastAsia="仿宋" w:cs="仿宋"/>
          <w:color w:val="auto"/>
          <w:sz w:val="21"/>
          <w:szCs w:val="21"/>
          <w:highlight w:val="none"/>
          <w:u w:val="single"/>
          <w:lang w:val="en-US" w:eastAsia="zh-CN"/>
        </w:rPr>
        <w:t>不允许分包</w:t>
      </w:r>
      <w:r>
        <w:rPr>
          <w:rFonts w:hint="eastAsia" w:ascii="仿宋" w:hAnsi="仿宋" w:eastAsia="仿宋" w:cs="仿宋"/>
          <w:color w:val="auto"/>
          <w:sz w:val="21"/>
          <w:szCs w:val="21"/>
          <w:highlight w:val="none"/>
          <w:u w:val="single"/>
        </w:rPr>
        <w:t>。</w:t>
      </w:r>
    </w:p>
    <w:p w14:paraId="394F21A9">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3.5.4 分包合同价款</w:t>
      </w:r>
    </w:p>
    <w:p w14:paraId="36EFF9C8">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关于分包合同价款支付的约定：</w:t>
      </w:r>
      <w:r>
        <w:rPr>
          <w:rFonts w:hint="eastAsia" w:ascii="仿宋" w:hAnsi="仿宋" w:eastAsia="仿宋" w:cs="仿宋"/>
          <w:color w:val="auto"/>
          <w:sz w:val="21"/>
          <w:szCs w:val="21"/>
          <w:highlight w:val="none"/>
          <w:u w:val="single"/>
          <w:lang w:val="en-US" w:eastAsia="zh-CN"/>
        </w:rPr>
        <w:t>/</w:t>
      </w:r>
      <w:r>
        <w:rPr>
          <w:rFonts w:hint="eastAsia" w:ascii="仿宋" w:hAnsi="仿宋" w:eastAsia="仿宋" w:cs="仿宋"/>
          <w:color w:val="auto"/>
          <w:sz w:val="21"/>
          <w:szCs w:val="21"/>
          <w:highlight w:val="none"/>
          <w:u w:val="single"/>
        </w:rPr>
        <w:t>。</w:t>
      </w:r>
    </w:p>
    <w:p w14:paraId="6ED4B52B">
      <w:pPr>
        <w:pageBreakBefore w:val="0"/>
        <w:shd w:val="clear"/>
        <w:bidi w:val="0"/>
        <w:adjustRightInd w:val="0"/>
        <w:snapToGrid w:val="0"/>
        <w:spacing w:beforeAutospacing="0" w:afterAutospacing="0" w:line="568" w:lineRule="exact"/>
        <w:ind w:firstLine="422" w:firstLineChars="20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3.6 工程照管与成品、半成品保护</w:t>
      </w:r>
    </w:p>
    <w:p w14:paraId="376FBB4F">
      <w:pPr>
        <w:pageBreakBefore w:val="0"/>
        <w:shd w:val="clear"/>
        <w:bidi w:val="0"/>
        <w:adjustRightInd w:val="0"/>
        <w:snapToGrid w:val="0"/>
        <w:spacing w:beforeAutospacing="0" w:afterAutospacing="0" w:line="568" w:lineRule="exact"/>
        <w:ind w:firstLine="420" w:firstLineChars="200"/>
        <w:rPr>
          <w:rFonts w:hint="eastAsia"/>
          <w:color w:val="auto"/>
          <w:sz w:val="21"/>
          <w:szCs w:val="21"/>
          <w:highlight w:val="none"/>
        </w:rPr>
      </w:pPr>
      <w:r>
        <w:rPr>
          <w:rFonts w:hint="eastAsia" w:ascii="仿宋" w:hAnsi="仿宋" w:eastAsia="仿宋" w:cs="仿宋"/>
          <w:color w:val="auto"/>
          <w:sz w:val="21"/>
          <w:szCs w:val="21"/>
          <w:highlight w:val="none"/>
        </w:rPr>
        <w:t>承包人负责照管工程及工程相关的材料、工程设备的起始时间：</w:t>
      </w:r>
      <w:r>
        <w:rPr>
          <w:rFonts w:hint="eastAsia" w:ascii="仿宋" w:hAnsi="仿宋" w:eastAsia="仿宋" w:cs="仿宋"/>
          <w:color w:val="auto"/>
          <w:sz w:val="21"/>
          <w:szCs w:val="21"/>
          <w:highlight w:val="none"/>
          <w:u w:val="single"/>
        </w:rPr>
        <w:t>按合同通用条款执行。</w:t>
      </w:r>
    </w:p>
    <w:bookmarkEnd w:id="53"/>
    <w:bookmarkEnd w:id="54"/>
    <w:p w14:paraId="35EA318C">
      <w:pPr>
        <w:pageBreakBefore w:val="0"/>
        <w:shd w:val="clear"/>
        <w:bidi w:val="0"/>
        <w:adjustRightInd w:val="0"/>
        <w:snapToGrid w:val="0"/>
        <w:spacing w:beforeAutospacing="0" w:afterAutospacing="0" w:line="568" w:lineRule="exact"/>
        <w:ind w:firstLine="480"/>
        <w:jc w:val="left"/>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3.7履约担保</w:t>
      </w:r>
    </w:p>
    <w:p w14:paraId="7E25B38C">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承包人是否提供履约担保：</w:t>
      </w:r>
      <w:r>
        <w:rPr>
          <w:rFonts w:hint="eastAsia" w:ascii="仿宋" w:hAnsi="仿宋" w:eastAsia="仿宋" w:cs="仿宋"/>
          <w:color w:val="auto"/>
          <w:sz w:val="21"/>
          <w:szCs w:val="21"/>
          <w:highlight w:val="none"/>
          <w:u w:val="single"/>
          <w:lang w:eastAsia="zh-CN"/>
        </w:rPr>
        <w:t>否</w:t>
      </w:r>
      <w:r>
        <w:rPr>
          <w:rFonts w:hint="eastAsia" w:ascii="仿宋" w:hAnsi="仿宋" w:eastAsia="仿宋" w:cs="仿宋"/>
          <w:color w:val="auto"/>
          <w:sz w:val="21"/>
          <w:szCs w:val="21"/>
          <w:highlight w:val="none"/>
          <w:u w:val="single"/>
        </w:rPr>
        <w:t>。</w:t>
      </w:r>
    </w:p>
    <w:p w14:paraId="7BC51A15">
      <w:pPr>
        <w:pStyle w:val="9"/>
        <w:pageBreakBefore w:val="0"/>
        <w:shd w:val="clear"/>
        <w:bidi w:val="0"/>
        <w:adjustRightInd w:val="0"/>
        <w:snapToGrid w:val="0"/>
        <w:spacing w:beforeAutospacing="0" w:afterAutospacing="0" w:line="568" w:lineRule="exact"/>
        <w:ind w:firstLine="422" w:firstLineChars="200"/>
        <w:rPr>
          <w:rFonts w:hint="eastAsia" w:ascii="仿宋" w:hAnsi="仿宋" w:eastAsia="仿宋" w:cs="仿宋"/>
          <w:color w:val="auto"/>
          <w:sz w:val="21"/>
          <w:szCs w:val="21"/>
          <w:highlight w:val="none"/>
        </w:rPr>
      </w:pPr>
      <w:bookmarkStart w:id="55" w:name="_Toc37169020"/>
      <w:r>
        <w:rPr>
          <w:rFonts w:hint="eastAsia" w:ascii="仿宋" w:hAnsi="仿宋" w:eastAsia="仿宋" w:cs="仿宋"/>
          <w:color w:val="auto"/>
          <w:sz w:val="21"/>
          <w:szCs w:val="21"/>
          <w:highlight w:val="none"/>
        </w:rPr>
        <w:t>5.工程质量</w:t>
      </w:r>
      <w:bookmarkEnd w:id="55"/>
    </w:p>
    <w:p w14:paraId="1C8C31B9">
      <w:pPr>
        <w:pageBreakBefore w:val="0"/>
        <w:shd w:val="clear"/>
        <w:bidi w:val="0"/>
        <w:adjustRightInd w:val="0"/>
        <w:snapToGrid w:val="0"/>
        <w:spacing w:beforeAutospacing="0" w:afterAutospacing="0" w:line="568" w:lineRule="exact"/>
        <w:ind w:firstLine="441" w:firstLineChars="209"/>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5.1质量要求</w:t>
      </w:r>
    </w:p>
    <w:p w14:paraId="1D5EF650">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5.1.1 特殊质量标准和要求：</w:t>
      </w:r>
      <w:r>
        <w:rPr>
          <w:rFonts w:hint="eastAsia" w:ascii="仿宋" w:hAnsi="仿宋" w:eastAsia="仿宋" w:cs="仿宋"/>
          <w:color w:val="auto"/>
          <w:sz w:val="21"/>
          <w:szCs w:val="21"/>
          <w:highlight w:val="none"/>
          <w:u w:val="single"/>
          <w:lang w:eastAsia="zh-CN"/>
        </w:rPr>
        <w:t>无</w:t>
      </w:r>
      <w:r>
        <w:rPr>
          <w:rFonts w:hint="eastAsia" w:ascii="仿宋" w:hAnsi="仿宋" w:eastAsia="仿宋" w:cs="仿宋"/>
          <w:color w:val="auto"/>
          <w:sz w:val="21"/>
          <w:szCs w:val="21"/>
          <w:highlight w:val="none"/>
          <w:u w:val="single"/>
        </w:rPr>
        <w:t>。</w:t>
      </w:r>
    </w:p>
    <w:p w14:paraId="4F930B59">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关于工程奖项的约定：</w:t>
      </w:r>
      <w:r>
        <w:rPr>
          <w:rFonts w:hint="eastAsia" w:ascii="仿宋" w:hAnsi="仿宋" w:eastAsia="仿宋" w:cs="仿宋"/>
          <w:color w:val="auto"/>
          <w:sz w:val="21"/>
          <w:szCs w:val="21"/>
          <w:highlight w:val="none"/>
          <w:u w:val="single"/>
        </w:rPr>
        <w:t>无。</w:t>
      </w:r>
    </w:p>
    <w:p w14:paraId="3C66983D">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u w:val="none"/>
        </w:rPr>
        <w:t>5.2.1 工程质量验收标准的约定：</w:t>
      </w:r>
      <w:r>
        <w:rPr>
          <w:rFonts w:hint="eastAsia" w:ascii="仿宋" w:hAnsi="仿宋" w:eastAsia="仿宋" w:cs="仿宋"/>
          <w:color w:val="auto"/>
          <w:sz w:val="21"/>
          <w:szCs w:val="21"/>
          <w:highlight w:val="none"/>
          <w:u w:val="single"/>
        </w:rPr>
        <w:t>承包人必须确保工程质量为合格工程，并对工程质量终身负责。在施工中承包人必须在每道工序完成自检合格后，报请发包人进行验收，经检查验收合格后，方可进行下一道工序的施工。否则，该工序无论质量合格与否，均视为不合格工序，由此造成返工、误工等费用由承包人自负，工期不予延长。</w:t>
      </w:r>
    </w:p>
    <w:p w14:paraId="608C749A">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none"/>
        </w:rPr>
        <w:t>5.2.</w:t>
      </w:r>
      <w:r>
        <w:rPr>
          <w:rFonts w:hint="eastAsia" w:ascii="仿宋" w:hAnsi="仿宋" w:eastAsia="仿宋" w:cs="仿宋"/>
          <w:color w:val="auto"/>
          <w:sz w:val="21"/>
          <w:szCs w:val="21"/>
          <w:highlight w:val="none"/>
          <w:u w:val="none"/>
          <w:lang w:val="en-US" w:eastAsia="zh-CN"/>
        </w:rPr>
        <w:t>3</w:t>
      </w:r>
      <w:r>
        <w:rPr>
          <w:rFonts w:hint="eastAsia" w:ascii="仿宋" w:hAnsi="仿宋" w:eastAsia="仿宋" w:cs="仿宋"/>
          <w:color w:val="auto"/>
          <w:sz w:val="21"/>
          <w:szCs w:val="21"/>
          <w:highlight w:val="none"/>
          <w:u w:val="none"/>
        </w:rPr>
        <w:t xml:space="preserve"> 发包人对工程部位及其施工工艺，材料和工程设备进行检查和检验地点的约定：</w:t>
      </w:r>
      <w:r>
        <w:rPr>
          <w:rFonts w:hint="eastAsia" w:ascii="仿宋" w:hAnsi="仿宋" w:eastAsia="仿宋" w:cs="仿宋"/>
          <w:color w:val="auto"/>
          <w:sz w:val="21"/>
          <w:szCs w:val="21"/>
          <w:highlight w:val="none"/>
          <w:u w:val="single"/>
        </w:rPr>
        <w:t>按合同通用条款执行。</w:t>
      </w:r>
    </w:p>
    <w:p w14:paraId="63FE9FF1">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5.3隐蔽工程检查</w:t>
      </w:r>
    </w:p>
    <w:p w14:paraId="522C6A2D">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5.3.2 承包人提前通知监理人隐蔽工程检查的期限的约定：</w:t>
      </w:r>
      <w:r>
        <w:rPr>
          <w:rFonts w:hint="eastAsia" w:ascii="仿宋" w:hAnsi="仿宋" w:eastAsia="仿宋" w:cs="仿宋"/>
          <w:color w:val="auto"/>
          <w:sz w:val="21"/>
          <w:szCs w:val="21"/>
          <w:highlight w:val="none"/>
          <w:u w:val="single"/>
        </w:rPr>
        <w:t>承包人在每项隐蔽工程覆盖之前，自检合格后，必须报请发包人、质检和设计部门现场代表进行验收。验收合格书面认证后，方准许覆盖。否则，由此造成的返工，费用由承包人自负，工期不予延长。</w:t>
      </w:r>
    </w:p>
    <w:p w14:paraId="07A1DC86">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发包</w:t>
      </w:r>
      <w:r>
        <w:rPr>
          <w:rFonts w:hint="eastAsia" w:ascii="仿宋" w:hAnsi="仿宋" w:eastAsia="仿宋" w:cs="仿宋"/>
          <w:color w:val="auto"/>
          <w:sz w:val="21"/>
          <w:szCs w:val="21"/>
          <w:highlight w:val="none"/>
          <w:u w:val="none"/>
        </w:rPr>
        <w:t>人不能按时进行检查时，应提前</w:t>
      </w:r>
      <w:r>
        <w:rPr>
          <w:rFonts w:hint="eastAsia" w:ascii="仿宋" w:hAnsi="仿宋" w:eastAsia="仿宋" w:cs="仿宋"/>
          <w:color w:val="auto"/>
          <w:sz w:val="21"/>
          <w:szCs w:val="21"/>
          <w:highlight w:val="none"/>
          <w:u w:val="single"/>
        </w:rPr>
        <w:t>24小时</w:t>
      </w:r>
      <w:r>
        <w:rPr>
          <w:rFonts w:hint="eastAsia" w:ascii="仿宋" w:hAnsi="仿宋" w:eastAsia="仿宋" w:cs="仿宋"/>
          <w:color w:val="auto"/>
          <w:sz w:val="21"/>
          <w:szCs w:val="21"/>
          <w:highlight w:val="none"/>
          <w:u w:val="none"/>
        </w:rPr>
        <w:t>提交书面延期要求。</w:t>
      </w:r>
    </w:p>
    <w:p w14:paraId="2E5DB189">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关于延期最长不得超过：</w:t>
      </w:r>
      <w:r>
        <w:rPr>
          <w:rFonts w:hint="eastAsia" w:ascii="仿宋" w:hAnsi="仿宋" w:eastAsia="仿宋" w:cs="仿宋"/>
          <w:color w:val="auto"/>
          <w:sz w:val="21"/>
          <w:szCs w:val="21"/>
          <w:highlight w:val="none"/>
          <w:u w:val="single"/>
        </w:rPr>
        <w:t>48</w:t>
      </w:r>
      <w:r>
        <w:rPr>
          <w:rFonts w:hint="eastAsia" w:ascii="仿宋" w:hAnsi="仿宋" w:eastAsia="仿宋" w:cs="仿宋"/>
          <w:color w:val="auto"/>
          <w:sz w:val="21"/>
          <w:szCs w:val="21"/>
          <w:highlight w:val="none"/>
          <w:u w:val="none"/>
        </w:rPr>
        <w:t>小时。</w:t>
      </w:r>
    </w:p>
    <w:p w14:paraId="17721DF4">
      <w:pPr>
        <w:pageBreakBefore w:val="0"/>
        <w:shd w:val="clear"/>
        <w:bidi w:val="0"/>
        <w:adjustRightInd w:val="0"/>
        <w:snapToGrid w:val="0"/>
        <w:spacing w:beforeAutospacing="0" w:afterAutospacing="0" w:line="568" w:lineRule="exact"/>
        <w:ind w:firstLine="422" w:firstLineChars="200"/>
        <w:rPr>
          <w:rFonts w:hint="eastAsia" w:ascii="仿宋" w:hAnsi="仿宋" w:eastAsia="仿宋" w:cs="仿宋"/>
          <w:b/>
          <w:bCs/>
          <w:color w:val="auto"/>
          <w:sz w:val="21"/>
          <w:szCs w:val="21"/>
          <w:highlight w:val="none"/>
        </w:rPr>
      </w:pPr>
      <w:bookmarkStart w:id="56" w:name="_Toc37169021"/>
      <w:r>
        <w:rPr>
          <w:rFonts w:hint="eastAsia" w:ascii="仿宋" w:hAnsi="仿宋" w:eastAsia="仿宋" w:cs="仿宋"/>
          <w:b/>
          <w:bCs/>
          <w:color w:val="auto"/>
          <w:sz w:val="21"/>
          <w:szCs w:val="21"/>
          <w:highlight w:val="none"/>
        </w:rPr>
        <w:t>6</w:t>
      </w:r>
      <w:r>
        <w:rPr>
          <w:rFonts w:hint="eastAsia" w:ascii="仿宋" w:hAnsi="仿宋" w:eastAsia="仿宋" w:cs="仿宋"/>
          <w:b/>
          <w:bCs/>
          <w:color w:val="auto"/>
          <w:sz w:val="21"/>
          <w:szCs w:val="21"/>
          <w:highlight w:val="none"/>
          <w:lang w:val="en-US" w:eastAsia="zh-CN"/>
        </w:rPr>
        <w:t>.</w:t>
      </w:r>
      <w:r>
        <w:rPr>
          <w:rFonts w:hint="eastAsia" w:ascii="仿宋" w:hAnsi="仿宋" w:eastAsia="仿宋" w:cs="仿宋"/>
          <w:b/>
          <w:bCs/>
          <w:color w:val="auto"/>
          <w:sz w:val="21"/>
          <w:szCs w:val="21"/>
          <w:highlight w:val="none"/>
        </w:rPr>
        <w:t>安全文明施工与环境保护</w:t>
      </w:r>
    </w:p>
    <w:p w14:paraId="28431FA0">
      <w:pPr>
        <w:pageBreakBefore w:val="0"/>
        <w:shd w:val="clear"/>
        <w:bidi w:val="0"/>
        <w:adjustRightInd w:val="0"/>
        <w:snapToGrid w:val="0"/>
        <w:spacing w:beforeAutospacing="0" w:afterAutospacing="0" w:line="568" w:lineRule="exact"/>
        <w:ind w:firstLine="482"/>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6.1 安全文明施工</w:t>
      </w:r>
    </w:p>
    <w:p w14:paraId="1D952099">
      <w:pPr>
        <w:pageBreakBefore w:val="0"/>
        <w:shd w:val="clear"/>
        <w:bidi w:val="0"/>
        <w:adjustRightInd w:val="0"/>
        <w:snapToGrid w:val="0"/>
        <w:spacing w:beforeAutospacing="0" w:afterAutospacing="0" w:line="568" w:lineRule="exact"/>
        <w:ind w:firstLine="482"/>
        <w:rPr>
          <w:rFonts w:hint="eastAsia" w:ascii="仿宋" w:hAnsi="仿宋" w:eastAsia="仿宋" w:cs="仿宋"/>
          <w:b w:val="0"/>
          <w:bCs w:val="0"/>
          <w:color w:val="auto"/>
          <w:sz w:val="21"/>
          <w:szCs w:val="21"/>
          <w:highlight w:val="none"/>
          <w:u w:val="single"/>
        </w:rPr>
      </w:pPr>
      <w:r>
        <w:rPr>
          <w:rFonts w:hint="eastAsia" w:ascii="仿宋" w:hAnsi="仿宋" w:eastAsia="仿宋" w:cs="仿宋"/>
          <w:b w:val="0"/>
          <w:bCs w:val="0"/>
          <w:color w:val="auto"/>
          <w:sz w:val="21"/>
          <w:szCs w:val="21"/>
          <w:highlight w:val="none"/>
        </w:rPr>
        <w:t>6.1.1 项目安全生产的达标目标及相应事项的约定：</w:t>
      </w:r>
      <w:r>
        <w:rPr>
          <w:rFonts w:hint="eastAsia" w:ascii="仿宋" w:hAnsi="仿宋" w:eastAsia="仿宋" w:cs="仿宋"/>
          <w:b w:val="0"/>
          <w:bCs w:val="0"/>
          <w:color w:val="auto"/>
          <w:sz w:val="21"/>
          <w:szCs w:val="21"/>
          <w:highlight w:val="none"/>
          <w:u w:val="single"/>
        </w:rPr>
        <w:t>求达到《安全生产管理条例》及相关市政道路施工安全检查标准。</w:t>
      </w:r>
    </w:p>
    <w:p w14:paraId="3536F040">
      <w:pPr>
        <w:pageBreakBefore w:val="0"/>
        <w:shd w:val="clear"/>
        <w:bidi w:val="0"/>
        <w:adjustRightInd w:val="0"/>
        <w:snapToGrid w:val="0"/>
        <w:spacing w:beforeAutospacing="0" w:afterAutospacing="0" w:line="568" w:lineRule="exact"/>
        <w:ind w:firstLine="482"/>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6.1.4 关于治安保卫的特别约定</w:t>
      </w:r>
      <w:r>
        <w:rPr>
          <w:rFonts w:hint="eastAsia" w:ascii="仿宋" w:hAnsi="仿宋" w:eastAsia="仿宋" w:cs="仿宋"/>
          <w:b w:val="0"/>
          <w:bCs w:val="0"/>
          <w:color w:val="auto"/>
          <w:sz w:val="21"/>
          <w:szCs w:val="21"/>
          <w:highlight w:val="none"/>
          <w:u w:val="single"/>
        </w:rPr>
        <w:t>：按合同通用条款执行。</w:t>
      </w:r>
    </w:p>
    <w:p w14:paraId="6E3892E6">
      <w:pPr>
        <w:pageBreakBefore w:val="0"/>
        <w:shd w:val="clear"/>
        <w:bidi w:val="0"/>
        <w:adjustRightInd w:val="0"/>
        <w:snapToGrid w:val="0"/>
        <w:spacing w:beforeAutospacing="0" w:afterAutospacing="0" w:line="568" w:lineRule="exact"/>
        <w:ind w:firstLine="482"/>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关于编制施工场地治安管理计划的约定：</w:t>
      </w:r>
      <w:r>
        <w:rPr>
          <w:rFonts w:hint="eastAsia" w:ascii="仿宋" w:hAnsi="仿宋" w:eastAsia="仿宋" w:cs="仿宋"/>
          <w:b w:val="0"/>
          <w:bCs w:val="0"/>
          <w:color w:val="auto"/>
          <w:sz w:val="21"/>
          <w:szCs w:val="21"/>
          <w:highlight w:val="none"/>
          <w:u w:val="single"/>
        </w:rPr>
        <w:t>现场安全管理，由承包人负责和辖区内当地公安部门协商，在现场建立治安管理机构或联防组织，统一管理施工场地的治安保卫事项，履行合同工程的治安保卫职责。承包人在开工后10日内负责编制施工场地治安管理计划，并制定对突发治安事件的紧急预案，并报发包人批准，由承包人实施。在工程施工过程中，由于承包人原因发生暴乱、爆炸等恐怖事件，以及群殴、械斗等群体性突发治安事件等情况，均由承包人为主负责处理并承担处理该等治安事件的全部费用和全部责任，发包人只配合处理该等事件，且发包人不承担处理此等事件的任何费用和任何责任。</w:t>
      </w:r>
    </w:p>
    <w:p w14:paraId="648A6640">
      <w:pPr>
        <w:pageBreakBefore w:val="0"/>
        <w:shd w:val="clear"/>
        <w:bidi w:val="0"/>
        <w:adjustRightInd w:val="0"/>
        <w:snapToGrid w:val="0"/>
        <w:spacing w:beforeAutospacing="0" w:afterAutospacing="0" w:line="568" w:lineRule="exact"/>
        <w:ind w:firstLine="482"/>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6.1.5 文明施工</w:t>
      </w:r>
    </w:p>
    <w:p w14:paraId="6068E8B1">
      <w:pPr>
        <w:pageBreakBefore w:val="0"/>
        <w:shd w:val="clear"/>
        <w:bidi w:val="0"/>
        <w:adjustRightInd w:val="0"/>
        <w:snapToGrid w:val="0"/>
        <w:spacing w:beforeAutospacing="0" w:afterAutospacing="0" w:line="568" w:lineRule="exact"/>
        <w:ind w:firstLine="482"/>
        <w:rPr>
          <w:rFonts w:hint="eastAsia" w:ascii="仿宋" w:hAnsi="仿宋" w:eastAsia="仿宋" w:cs="仿宋"/>
          <w:b w:val="0"/>
          <w:bCs w:val="0"/>
          <w:color w:val="auto"/>
          <w:sz w:val="21"/>
          <w:szCs w:val="21"/>
          <w:highlight w:val="none"/>
          <w:u w:val="single"/>
        </w:rPr>
      </w:pPr>
      <w:r>
        <w:rPr>
          <w:rFonts w:hint="eastAsia" w:ascii="仿宋" w:hAnsi="仿宋" w:eastAsia="仿宋" w:cs="仿宋"/>
          <w:b w:val="0"/>
          <w:bCs w:val="0"/>
          <w:color w:val="auto"/>
          <w:sz w:val="21"/>
          <w:szCs w:val="21"/>
          <w:highlight w:val="none"/>
        </w:rPr>
        <w:t>合同当事人对文明施工的要求：</w:t>
      </w:r>
      <w:r>
        <w:rPr>
          <w:rFonts w:hint="eastAsia" w:ascii="仿宋" w:hAnsi="仿宋" w:eastAsia="仿宋" w:cs="仿宋"/>
          <w:b w:val="0"/>
          <w:bCs w:val="0"/>
          <w:color w:val="auto"/>
          <w:sz w:val="21"/>
          <w:szCs w:val="21"/>
          <w:highlight w:val="none"/>
          <w:u w:val="single"/>
        </w:rPr>
        <w:t>按通用条款，并满足现行环保、蓝天保卫战等要求。</w:t>
      </w:r>
    </w:p>
    <w:p w14:paraId="57BEEC0A">
      <w:pPr>
        <w:pageBreakBefore w:val="0"/>
        <w:shd w:val="clear"/>
        <w:bidi w:val="0"/>
        <w:adjustRightInd w:val="0"/>
        <w:snapToGrid w:val="0"/>
        <w:spacing w:beforeAutospacing="0" w:afterAutospacing="0" w:line="568" w:lineRule="exact"/>
        <w:ind w:firstLine="482"/>
        <w:rPr>
          <w:rFonts w:hint="eastAsia" w:ascii="仿宋" w:hAnsi="仿宋" w:eastAsia="仿宋" w:cs="仿宋"/>
          <w:b w:val="0"/>
          <w:bCs w:val="0"/>
          <w:color w:val="auto"/>
          <w:sz w:val="21"/>
          <w:szCs w:val="21"/>
          <w:highlight w:val="none"/>
          <w:u w:val="single"/>
        </w:rPr>
      </w:pPr>
      <w:r>
        <w:rPr>
          <w:rFonts w:hint="eastAsia" w:ascii="仿宋" w:hAnsi="仿宋" w:eastAsia="仿宋" w:cs="仿宋"/>
          <w:b w:val="0"/>
          <w:bCs w:val="0"/>
          <w:color w:val="auto"/>
          <w:sz w:val="21"/>
          <w:szCs w:val="21"/>
          <w:highlight w:val="none"/>
        </w:rPr>
        <w:t>6.1.6 关于安全文明施工费支付比例和支付期限的约定：</w:t>
      </w:r>
      <w:r>
        <w:rPr>
          <w:rFonts w:hint="eastAsia" w:ascii="仿宋" w:hAnsi="仿宋" w:eastAsia="仿宋" w:cs="仿宋"/>
          <w:b w:val="0"/>
          <w:bCs w:val="0"/>
          <w:color w:val="auto"/>
          <w:sz w:val="21"/>
          <w:szCs w:val="21"/>
          <w:highlight w:val="none"/>
          <w:u w:val="single"/>
        </w:rPr>
        <w:t>按湖南省、长沙市最新安全防护文明施工措施费相关管理规定执行。</w:t>
      </w:r>
    </w:p>
    <w:p w14:paraId="7E94F564">
      <w:pPr>
        <w:pageBreakBefore w:val="0"/>
        <w:shd w:val="clear"/>
        <w:bidi w:val="0"/>
        <w:adjustRightInd w:val="0"/>
        <w:snapToGrid w:val="0"/>
        <w:spacing w:beforeAutospacing="0" w:afterAutospacing="0" w:line="568" w:lineRule="exact"/>
        <w:ind w:firstLine="482"/>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u w:val="none"/>
        </w:rPr>
        <w:t>6.1.7 未包括在安全生产、文明施工费用内的特殊作业环境和有关费用的约定：</w:t>
      </w:r>
      <w:r>
        <w:rPr>
          <w:rFonts w:hint="eastAsia" w:ascii="仿宋" w:hAnsi="仿宋" w:eastAsia="仿宋" w:cs="仿宋"/>
          <w:b w:val="0"/>
          <w:bCs w:val="0"/>
          <w:color w:val="auto"/>
          <w:sz w:val="21"/>
          <w:szCs w:val="21"/>
          <w:highlight w:val="none"/>
          <w:u w:val="single"/>
        </w:rPr>
        <w:t>无特殊作业环境约定，任何作业环境已由承包人根据工程情况考虑，包含在合同价款中。</w:t>
      </w:r>
    </w:p>
    <w:p w14:paraId="1723FA58">
      <w:pPr>
        <w:pageBreakBefore w:val="0"/>
        <w:shd w:val="clear"/>
        <w:bidi w:val="0"/>
        <w:adjustRightInd w:val="0"/>
        <w:snapToGrid w:val="0"/>
        <w:spacing w:beforeAutospacing="0" w:afterAutospacing="0" w:line="568" w:lineRule="exact"/>
        <w:ind w:firstLine="482"/>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6.3 环境保护</w:t>
      </w:r>
    </w:p>
    <w:p w14:paraId="2C425393">
      <w:pPr>
        <w:pageBreakBefore w:val="0"/>
        <w:shd w:val="clear"/>
        <w:bidi w:val="0"/>
        <w:adjustRightInd w:val="0"/>
        <w:snapToGrid w:val="0"/>
        <w:spacing w:beforeAutospacing="0" w:afterAutospacing="0" w:line="568" w:lineRule="exact"/>
        <w:ind w:firstLine="482"/>
        <w:rPr>
          <w:rFonts w:hint="eastAsia" w:ascii="仿宋" w:hAnsi="仿宋" w:eastAsia="仿宋" w:cs="仿宋"/>
          <w:color w:val="auto"/>
          <w:sz w:val="21"/>
          <w:szCs w:val="21"/>
          <w:highlight w:val="none"/>
        </w:rPr>
      </w:pPr>
      <w:r>
        <w:rPr>
          <w:rFonts w:hint="eastAsia" w:ascii="仿宋" w:hAnsi="仿宋" w:eastAsia="仿宋" w:cs="仿宋"/>
          <w:b w:val="0"/>
          <w:bCs w:val="0"/>
          <w:color w:val="auto"/>
          <w:sz w:val="21"/>
          <w:szCs w:val="21"/>
          <w:highlight w:val="none"/>
        </w:rPr>
        <w:t>环保工作内容的约定：</w:t>
      </w:r>
      <w:r>
        <w:rPr>
          <w:rFonts w:hint="eastAsia" w:ascii="仿宋" w:hAnsi="仿宋" w:eastAsia="仿宋" w:cs="仿宋"/>
          <w:b w:val="0"/>
          <w:bCs w:val="0"/>
          <w:color w:val="auto"/>
          <w:sz w:val="21"/>
          <w:szCs w:val="21"/>
          <w:highlight w:val="none"/>
          <w:u w:val="single"/>
        </w:rPr>
        <w:t>承包人有义务遵守长沙市环境保护局和芙蓉区治尘办有关环保规定，采取防尘措施，并与发包人签订环保责任书，办理相关行政许可手续，并承担环保工作的所有费用。承包人应于本合同签订后14日内，将环境保护施工方案报送发包人。如工程在施工过程中因环保问题被相关部门进行处罚或罚款，承包人应承担全部责任。</w:t>
      </w:r>
      <w:bookmarkEnd w:id="56"/>
    </w:p>
    <w:p w14:paraId="4C3D7F58">
      <w:pPr>
        <w:pageBreakBefore w:val="0"/>
        <w:shd w:val="clear"/>
        <w:bidi w:val="0"/>
        <w:adjustRightInd w:val="0"/>
        <w:snapToGrid w:val="0"/>
        <w:spacing w:beforeAutospacing="0" w:afterAutospacing="0" w:line="568" w:lineRule="exact"/>
        <w:ind w:firstLine="422" w:firstLineChars="200"/>
        <w:jc w:val="left"/>
        <w:rPr>
          <w:rFonts w:hint="eastAsia" w:ascii="仿宋" w:hAnsi="仿宋" w:eastAsia="仿宋" w:cs="仿宋"/>
          <w:b/>
          <w:color w:val="auto"/>
          <w:sz w:val="21"/>
          <w:szCs w:val="21"/>
          <w:highlight w:val="none"/>
        </w:rPr>
      </w:pPr>
      <w:bookmarkStart w:id="57" w:name="_Toc37169022"/>
      <w:r>
        <w:rPr>
          <w:rFonts w:hint="eastAsia" w:ascii="仿宋" w:hAnsi="仿宋" w:eastAsia="仿宋" w:cs="仿宋"/>
          <w:b/>
          <w:bCs/>
          <w:color w:val="auto"/>
          <w:sz w:val="21"/>
          <w:szCs w:val="21"/>
          <w:highlight w:val="none"/>
        </w:rPr>
        <w:t>7</w:t>
      </w:r>
      <w:r>
        <w:rPr>
          <w:rFonts w:hint="eastAsia" w:ascii="仿宋" w:hAnsi="仿宋" w:eastAsia="仿宋" w:cs="仿宋"/>
          <w:b/>
          <w:bCs/>
          <w:color w:val="auto"/>
          <w:sz w:val="21"/>
          <w:szCs w:val="21"/>
          <w:highlight w:val="none"/>
          <w:lang w:val="en-US" w:eastAsia="zh-CN"/>
        </w:rPr>
        <w:t>.</w:t>
      </w:r>
      <w:r>
        <w:rPr>
          <w:rFonts w:hint="eastAsia" w:ascii="仿宋" w:hAnsi="仿宋" w:eastAsia="仿宋" w:cs="仿宋"/>
          <w:b/>
          <w:bCs/>
          <w:color w:val="auto"/>
          <w:sz w:val="21"/>
          <w:szCs w:val="21"/>
          <w:highlight w:val="none"/>
        </w:rPr>
        <w:t>工期和进度</w:t>
      </w:r>
      <w:bookmarkEnd w:id="57"/>
    </w:p>
    <w:p w14:paraId="04DC645B">
      <w:pPr>
        <w:pageBreakBefore w:val="0"/>
        <w:shd w:val="clear"/>
        <w:bidi w:val="0"/>
        <w:adjustRightInd w:val="0"/>
        <w:snapToGrid w:val="0"/>
        <w:spacing w:beforeAutospacing="0" w:afterAutospacing="0" w:line="568" w:lineRule="exact"/>
        <w:ind w:firstLine="422" w:firstLineChars="200"/>
        <w:jc w:val="left"/>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7.1施工组织设计</w:t>
      </w:r>
    </w:p>
    <w:p w14:paraId="57AB9EB5">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7.1.1 合同当事人约定的施工组织设计应包括的其他内容：</w:t>
      </w:r>
      <w:r>
        <w:rPr>
          <w:rFonts w:hint="eastAsia" w:ascii="仿宋" w:hAnsi="仿宋" w:eastAsia="仿宋" w:cs="仿宋"/>
          <w:color w:val="auto"/>
          <w:sz w:val="21"/>
          <w:szCs w:val="21"/>
          <w:highlight w:val="none"/>
          <w:u w:val="single"/>
        </w:rPr>
        <w:t>按合同通用条款执行。</w:t>
      </w:r>
    </w:p>
    <w:p w14:paraId="3852B426">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7.1.2</w:t>
      </w: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sz w:val="21"/>
          <w:szCs w:val="21"/>
          <w:highlight w:val="none"/>
        </w:rPr>
        <w:t>施工组织设计的提交和修改</w:t>
      </w:r>
    </w:p>
    <w:p w14:paraId="04E314B5">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承包人提交详细施工组织设计的期限的约定：</w:t>
      </w:r>
      <w:r>
        <w:rPr>
          <w:rFonts w:hint="eastAsia" w:ascii="仿宋" w:hAnsi="仿宋" w:eastAsia="仿宋" w:cs="仿宋"/>
          <w:color w:val="auto"/>
          <w:sz w:val="21"/>
          <w:szCs w:val="21"/>
          <w:highlight w:val="none"/>
          <w:u w:val="single"/>
        </w:rPr>
        <w:t>开工</w:t>
      </w:r>
      <w:r>
        <w:rPr>
          <w:rFonts w:hint="eastAsia" w:ascii="仿宋" w:hAnsi="仿宋" w:eastAsia="仿宋" w:cs="仿宋"/>
          <w:color w:val="auto"/>
          <w:sz w:val="21"/>
          <w:szCs w:val="21"/>
          <w:highlight w:val="none"/>
          <w:u w:val="single"/>
          <w:lang w:eastAsia="zh-CN"/>
        </w:rPr>
        <w:t>后</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single"/>
        </w:rPr>
        <w:t>7 日内。</w:t>
      </w:r>
    </w:p>
    <w:p w14:paraId="5C436983">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发包人和监理人在收到详细的施工组织设计后确认或提出修改意见的期限：</w:t>
      </w:r>
      <w:r>
        <w:rPr>
          <w:rFonts w:hint="eastAsia" w:ascii="仿宋" w:hAnsi="仿宋" w:eastAsia="仿宋" w:cs="仿宋"/>
          <w:color w:val="auto"/>
          <w:sz w:val="21"/>
          <w:szCs w:val="21"/>
          <w:highlight w:val="none"/>
          <w:u w:val="single"/>
          <w:lang w:val="en-US" w:eastAsia="zh-CN"/>
        </w:rPr>
        <w:t>/</w:t>
      </w:r>
      <w:r>
        <w:rPr>
          <w:rFonts w:hint="eastAsia" w:ascii="仿宋" w:hAnsi="仿宋" w:eastAsia="仿宋" w:cs="仿宋"/>
          <w:color w:val="auto"/>
          <w:sz w:val="21"/>
          <w:szCs w:val="21"/>
          <w:highlight w:val="none"/>
          <w:u w:val="single"/>
        </w:rPr>
        <w:t>。</w:t>
      </w:r>
      <w:r>
        <w:rPr>
          <w:rFonts w:hint="eastAsia" w:ascii="仿宋" w:hAnsi="仿宋" w:eastAsia="仿宋" w:cs="仿宋"/>
          <w:color w:val="auto"/>
          <w:sz w:val="21"/>
          <w:szCs w:val="21"/>
          <w:highlight w:val="none"/>
          <w:u w:val="single"/>
          <w:lang w:val="en-US" w:eastAsia="zh-CN"/>
        </w:rPr>
        <w:t xml:space="preserve"> </w:t>
      </w:r>
    </w:p>
    <w:p w14:paraId="54416BCC">
      <w:pPr>
        <w:pageBreakBefore w:val="0"/>
        <w:shd w:val="clear"/>
        <w:bidi w:val="0"/>
        <w:adjustRightInd w:val="0"/>
        <w:snapToGrid w:val="0"/>
        <w:spacing w:beforeAutospacing="0" w:afterAutospacing="0" w:line="568" w:lineRule="exact"/>
        <w:ind w:firstLine="422" w:firstLineChars="200"/>
        <w:jc w:val="left"/>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7.2施工进度计划</w:t>
      </w:r>
    </w:p>
    <w:p w14:paraId="485A66D2">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7.2.2施工进度计划的修订</w:t>
      </w:r>
    </w:p>
    <w:p w14:paraId="755E68C8">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发包人在收到修订的施工进度计划后确认或提出修改意见的期限：</w:t>
      </w:r>
      <w:r>
        <w:rPr>
          <w:rFonts w:hint="eastAsia" w:ascii="仿宋" w:hAnsi="仿宋" w:eastAsia="仿宋" w:cs="仿宋"/>
          <w:color w:val="auto"/>
          <w:sz w:val="21"/>
          <w:szCs w:val="21"/>
          <w:highlight w:val="none"/>
          <w:u w:val="single"/>
        </w:rPr>
        <w:t>收到相关文件后</w:t>
      </w:r>
      <w:r>
        <w:rPr>
          <w:rFonts w:hint="eastAsia" w:ascii="仿宋" w:hAnsi="仿宋" w:eastAsia="仿宋" w:cs="仿宋"/>
          <w:color w:val="auto"/>
          <w:sz w:val="21"/>
          <w:szCs w:val="21"/>
          <w:highlight w:val="none"/>
          <w:u w:val="single"/>
          <w:lang w:val="en-US" w:eastAsia="zh-CN"/>
        </w:rPr>
        <w:t>7</w:t>
      </w:r>
      <w:r>
        <w:rPr>
          <w:rFonts w:hint="eastAsia" w:ascii="仿宋" w:hAnsi="仿宋" w:eastAsia="仿宋" w:cs="仿宋"/>
          <w:color w:val="auto"/>
          <w:sz w:val="21"/>
          <w:szCs w:val="21"/>
          <w:highlight w:val="none"/>
          <w:u w:val="single"/>
        </w:rPr>
        <w:t>日内</w:t>
      </w:r>
      <w:r>
        <w:rPr>
          <w:rFonts w:hint="eastAsia" w:ascii="仿宋" w:hAnsi="仿宋" w:eastAsia="仿宋" w:cs="仿宋"/>
          <w:color w:val="auto"/>
          <w:sz w:val="21"/>
          <w:szCs w:val="21"/>
          <w:highlight w:val="none"/>
        </w:rPr>
        <w:t>。</w:t>
      </w:r>
    </w:p>
    <w:p w14:paraId="254C46C5">
      <w:pPr>
        <w:pageBreakBefore w:val="0"/>
        <w:shd w:val="clear"/>
        <w:autoSpaceDE w:val="0"/>
        <w:autoSpaceDN w:val="0"/>
        <w:bidi w:val="0"/>
        <w:adjustRightInd w:val="0"/>
        <w:snapToGrid w:val="0"/>
        <w:spacing w:beforeAutospacing="0" w:afterAutospacing="0" w:line="568" w:lineRule="exact"/>
        <w:ind w:firstLine="422" w:firstLineChars="200"/>
        <w:jc w:val="left"/>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7.3开工</w:t>
      </w:r>
    </w:p>
    <w:p w14:paraId="2236A6A7">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7.3.1</w:t>
      </w:r>
      <w:r>
        <w:rPr>
          <w:rFonts w:hint="eastAsia" w:ascii="仿宋" w:hAnsi="仿宋" w:eastAsia="仿宋" w:cs="仿宋"/>
          <w:color w:val="auto"/>
          <w:kern w:val="0"/>
          <w:sz w:val="21"/>
          <w:szCs w:val="21"/>
          <w:highlight w:val="none"/>
          <w:lang w:val="en-US" w:eastAsia="zh-CN"/>
        </w:rPr>
        <w:t xml:space="preserve"> </w:t>
      </w:r>
      <w:r>
        <w:rPr>
          <w:rFonts w:hint="eastAsia" w:ascii="仿宋" w:hAnsi="仿宋" w:eastAsia="仿宋" w:cs="仿宋"/>
          <w:color w:val="auto"/>
          <w:kern w:val="0"/>
          <w:sz w:val="21"/>
          <w:szCs w:val="21"/>
          <w:highlight w:val="none"/>
        </w:rPr>
        <w:t>开工准备</w:t>
      </w:r>
    </w:p>
    <w:p w14:paraId="7011844D">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关于承包人提交工程开工报审表的期限：</w:t>
      </w:r>
      <w:r>
        <w:rPr>
          <w:rFonts w:hint="eastAsia" w:ascii="仿宋" w:hAnsi="仿宋" w:eastAsia="仿宋" w:cs="仿宋"/>
          <w:color w:val="auto"/>
          <w:sz w:val="21"/>
          <w:szCs w:val="21"/>
          <w:highlight w:val="none"/>
          <w:u w:val="single"/>
        </w:rPr>
        <w:t>按合同通用条款执行。</w:t>
      </w:r>
    </w:p>
    <w:p w14:paraId="0FC561EC">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关于发包人应完成的其他开工准备工作及期限：</w:t>
      </w:r>
      <w:r>
        <w:rPr>
          <w:rFonts w:hint="eastAsia" w:ascii="仿宋" w:hAnsi="仿宋" w:eastAsia="仿宋" w:cs="仿宋"/>
          <w:color w:val="auto"/>
          <w:sz w:val="21"/>
          <w:szCs w:val="21"/>
          <w:highlight w:val="none"/>
          <w:u w:val="single"/>
          <w:lang w:eastAsia="zh-CN"/>
        </w:rPr>
        <w:t>已完成</w:t>
      </w:r>
      <w:r>
        <w:rPr>
          <w:rFonts w:hint="eastAsia" w:ascii="仿宋" w:hAnsi="仿宋" w:eastAsia="仿宋" w:cs="仿宋"/>
          <w:color w:val="auto"/>
          <w:sz w:val="21"/>
          <w:szCs w:val="21"/>
          <w:highlight w:val="none"/>
          <w:u w:val="single"/>
        </w:rPr>
        <w:t>。</w:t>
      </w:r>
    </w:p>
    <w:p w14:paraId="69F967C6">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关于承包人应完成的其他开工准备工作及期限：</w:t>
      </w:r>
      <w:r>
        <w:rPr>
          <w:rFonts w:hint="eastAsia" w:ascii="仿宋" w:hAnsi="仿宋" w:eastAsia="仿宋" w:cs="仿宋"/>
          <w:color w:val="auto"/>
          <w:sz w:val="21"/>
          <w:szCs w:val="21"/>
          <w:highlight w:val="none"/>
          <w:u w:val="single"/>
          <w:lang w:eastAsia="zh-CN"/>
        </w:rPr>
        <w:t>按通用条款执行</w:t>
      </w:r>
      <w:r>
        <w:rPr>
          <w:rFonts w:hint="eastAsia" w:ascii="仿宋" w:hAnsi="仿宋" w:eastAsia="仿宋" w:cs="仿宋"/>
          <w:color w:val="auto"/>
          <w:sz w:val="21"/>
          <w:szCs w:val="21"/>
          <w:highlight w:val="none"/>
          <w:u w:val="single"/>
        </w:rPr>
        <w:t>。</w:t>
      </w:r>
    </w:p>
    <w:p w14:paraId="4BEE0012">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7.3.2 开工通知</w:t>
      </w:r>
    </w:p>
    <w:p w14:paraId="50DFAB12">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因发包人原因造成监理人未能在计划开工日期之日起</w:t>
      </w:r>
      <w:r>
        <w:rPr>
          <w:rFonts w:hint="eastAsia" w:ascii="仿宋" w:hAnsi="仿宋" w:eastAsia="仿宋" w:cs="仿宋"/>
          <w:color w:val="auto"/>
          <w:kern w:val="0"/>
          <w:sz w:val="21"/>
          <w:szCs w:val="21"/>
          <w:highlight w:val="none"/>
          <w:u w:val="single"/>
        </w:rPr>
        <w:t xml:space="preserve"> </w:t>
      </w:r>
      <w:r>
        <w:rPr>
          <w:rFonts w:hint="eastAsia" w:ascii="仿宋" w:hAnsi="仿宋" w:eastAsia="仿宋" w:cs="仿宋"/>
          <w:color w:val="auto"/>
          <w:kern w:val="0"/>
          <w:sz w:val="21"/>
          <w:szCs w:val="21"/>
          <w:highlight w:val="none"/>
          <w:u w:val="single"/>
          <w:lang w:val="en-US" w:eastAsia="zh-CN"/>
        </w:rPr>
        <w:t>90</w:t>
      </w:r>
      <w:r>
        <w:rPr>
          <w:rFonts w:hint="eastAsia" w:ascii="仿宋" w:hAnsi="仿宋" w:eastAsia="仿宋" w:cs="仿宋"/>
          <w:color w:val="auto"/>
          <w:kern w:val="0"/>
          <w:sz w:val="21"/>
          <w:szCs w:val="21"/>
          <w:highlight w:val="none"/>
          <w:u w:val="single"/>
        </w:rPr>
        <w:t xml:space="preserve"> 天</w:t>
      </w:r>
      <w:r>
        <w:rPr>
          <w:rFonts w:hint="eastAsia" w:ascii="仿宋" w:hAnsi="仿宋" w:eastAsia="仿宋" w:cs="仿宋"/>
          <w:color w:val="auto"/>
          <w:kern w:val="0"/>
          <w:sz w:val="21"/>
          <w:szCs w:val="21"/>
          <w:highlight w:val="none"/>
        </w:rPr>
        <w:t>内发出开工通知的，承包人有权提出价格调整要求，或者解除合同。</w:t>
      </w:r>
    </w:p>
    <w:p w14:paraId="45825F51">
      <w:pPr>
        <w:pageBreakBefore w:val="0"/>
        <w:shd w:val="clear"/>
        <w:autoSpaceDE w:val="0"/>
        <w:autoSpaceDN w:val="0"/>
        <w:bidi w:val="0"/>
        <w:adjustRightInd w:val="0"/>
        <w:snapToGrid w:val="0"/>
        <w:spacing w:beforeAutospacing="0" w:afterAutospacing="0" w:line="568" w:lineRule="exact"/>
        <w:ind w:firstLine="422" w:firstLineChars="200"/>
        <w:jc w:val="left"/>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7.4</w:t>
      </w:r>
      <w:r>
        <w:rPr>
          <w:rFonts w:hint="eastAsia" w:ascii="仿宋" w:hAnsi="仿宋" w:eastAsia="仿宋" w:cs="仿宋"/>
          <w:b/>
          <w:bCs/>
          <w:color w:val="auto"/>
          <w:kern w:val="0"/>
          <w:sz w:val="21"/>
          <w:szCs w:val="21"/>
          <w:highlight w:val="none"/>
          <w:lang w:val="en-US" w:eastAsia="zh-CN"/>
        </w:rPr>
        <w:t xml:space="preserve"> </w:t>
      </w:r>
      <w:r>
        <w:rPr>
          <w:rFonts w:hint="eastAsia" w:ascii="仿宋" w:hAnsi="仿宋" w:eastAsia="仿宋" w:cs="仿宋"/>
          <w:b/>
          <w:bCs/>
          <w:color w:val="auto"/>
          <w:kern w:val="0"/>
          <w:sz w:val="21"/>
          <w:szCs w:val="21"/>
          <w:highlight w:val="none"/>
        </w:rPr>
        <w:t>测量放线</w:t>
      </w:r>
    </w:p>
    <w:p w14:paraId="2B615164">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7.4.1 发包人通过监理人向承包人提供测量基准点、基准线和水准点及其书面资料的期限：</w:t>
      </w:r>
      <w:r>
        <w:rPr>
          <w:rFonts w:hint="eastAsia" w:ascii="仿宋" w:hAnsi="仿宋" w:eastAsia="仿宋" w:cs="仿宋"/>
          <w:color w:val="auto"/>
          <w:kern w:val="0"/>
          <w:sz w:val="21"/>
          <w:szCs w:val="21"/>
          <w:highlight w:val="none"/>
          <w:u w:val="single"/>
        </w:rPr>
        <w:t>开工前 7 日内</w:t>
      </w:r>
      <w:r>
        <w:rPr>
          <w:rFonts w:hint="eastAsia" w:ascii="仿宋" w:hAnsi="仿宋" w:eastAsia="仿宋" w:cs="仿宋"/>
          <w:color w:val="auto"/>
          <w:kern w:val="0"/>
          <w:sz w:val="21"/>
          <w:szCs w:val="21"/>
          <w:highlight w:val="none"/>
        </w:rPr>
        <w:t>。</w:t>
      </w:r>
    </w:p>
    <w:p w14:paraId="6F59543B">
      <w:pPr>
        <w:pageBreakBefore w:val="0"/>
        <w:shd w:val="clear"/>
        <w:autoSpaceDE w:val="0"/>
        <w:autoSpaceDN w:val="0"/>
        <w:bidi w:val="0"/>
        <w:adjustRightInd w:val="0"/>
        <w:snapToGrid w:val="0"/>
        <w:spacing w:beforeAutospacing="0" w:afterAutospacing="0" w:line="568" w:lineRule="exact"/>
        <w:ind w:firstLine="422" w:firstLineChars="200"/>
        <w:jc w:val="left"/>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7.5</w:t>
      </w:r>
      <w:r>
        <w:rPr>
          <w:rFonts w:hint="eastAsia" w:ascii="仿宋" w:hAnsi="仿宋" w:eastAsia="仿宋" w:cs="仿宋"/>
          <w:b/>
          <w:bCs/>
          <w:color w:val="auto"/>
          <w:kern w:val="0"/>
          <w:sz w:val="21"/>
          <w:szCs w:val="21"/>
          <w:highlight w:val="none"/>
          <w:lang w:val="en-US" w:eastAsia="zh-CN"/>
        </w:rPr>
        <w:t xml:space="preserve"> </w:t>
      </w:r>
      <w:r>
        <w:rPr>
          <w:rFonts w:hint="eastAsia" w:ascii="仿宋" w:hAnsi="仿宋" w:eastAsia="仿宋" w:cs="仿宋"/>
          <w:b/>
          <w:bCs/>
          <w:color w:val="auto"/>
          <w:kern w:val="0"/>
          <w:sz w:val="21"/>
          <w:szCs w:val="21"/>
          <w:highlight w:val="none"/>
        </w:rPr>
        <w:t xml:space="preserve">工期延误 </w:t>
      </w:r>
    </w:p>
    <w:p w14:paraId="284E9331">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7.5.1因发包人原因导致工期延误</w:t>
      </w:r>
    </w:p>
    <w:p w14:paraId="59AAA391">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（7）因发包人原因导致工期延误的其他情形：</w:t>
      </w:r>
      <w:r>
        <w:rPr>
          <w:rFonts w:hint="eastAsia" w:ascii="仿宋" w:hAnsi="仿宋" w:eastAsia="仿宋" w:cs="仿宋"/>
          <w:color w:val="auto"/>
          <w:kern w:val="0"/>
          <w:sz w:val="21"/>
          <w:szCs w:val="21"/>
          <w:highlight w:val="none"/>
          <w:u w:val="single"/>
          <w:lang w:val="en-US" w:eastAsia="zh-CN"/>
        </w:rPr>
        <w:t xml:space="preserve"> 因法律规定的不可预见的原因造成的工期延误，按相关工程管理规定执行</w:t>
      </w:r>
      <w:r>
        <w:rPr>
          <w:rFonts w:hint="eastAsia" w:ascii="仿宋" w:hAnsi="仿宋" w:eastAsia="仿宋" w:cs="仿宋"/>
          <w:color w:val="auto"/>
          <w:kern w:val="0"/>
          <w:sz w:val="21"/>
          <w:szCs w:val="21"/>
          <w:highlight w:val="none"/>
          <w:u w:val="single"/>
        </w:rPr>
        <w:t>。</w:t>
      </w:r>
    </w:p>
    <w:p w14:paraId="2EF4E1FC">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7.5.2 因承包人原因导致工期延误</w:t>
      </w:r>
    </w:p>
    <w:p w14:paraId="4A71086E">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因承包人原因造成工期延误，承包人应赔偿因此给发包人造成的全部损失并向发包人支付逾期竣工违约金，逾期竣工违约金的计算方法为：</w:t>
      </w:r>
      <w:r>
        <w:rPr>
          <w:rFonts w:hint="eastAsia" w:ascii="仿宋" w:hAnsi="仿宋" w:eastAsia="仿宋" w:cs="仿宋"/>
          <w:color w:val="auto"/>
          <w:kern w:val="0"/>
          <w:sz w:val="21"/>
          <w:szCs w:val="21"/>
          <w:highlight w:val="none"/>
          <w:u w:val="single"/>
        </w:rPr>
        <w:t>每逾期一天应按2000元/天的标准向发包人支付违约金，逾期竣工违约金的总额不超过合同总价的百分之二。</w:t>
      </w:r>
    </w:p>
    <w:p w14:paraId="7FCE297C">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u w:val="single"/>
        </w:rPr>
      </w:pPr>
      <w:r>
        <w:rPr>
          <w:rFonts w:hint="eastAsia" w:ascii="仿宋" w:hAnsi="仿宋" w:eastAsia="仿宋" w:cs="仿宋"/>
          <w:color w:val="auto"/>
          <w:kern w:val="0"/>
          <w:sz w:val="21"/>
          <w:szCs w:val="21"/>
          <w:highlight w:val="none"/>
        </w:rPr>
        <w:t>因承包人原因造成工期延误，逾期竣工违约金的上限：</w:t>
      </w:r>
      <w:r>
        <w:rPr>
          <w:rFonts w:hint="eastAsia" w:ascii="仿宋" w:hAnsi="仿宋" w:eastAsia="仿宋" w:cs="仿宋"/>
          <w:color w:val="auto"/>
          <w:kern w:val="0"/>
          <w:sz w:val="21"/>
          <w:szCs w:val="21"/>
          <w:highlight w:val="none"/>
          <w:u w:val="single"/>
        </w:rPr>
        <w:t>合同价的百分之二。</w:t>
      </w:r>
    </w:p>
    <w:p w14:paraId="76F3EC88">
      <w:pPr>
        <w:pageBreakBefore w:val="0"/>
        <w:shd w:val="clear"/>
        <w:autoSpaceDE w:val="0"/>
        <w:autoSpaceDN w:val="0"/>
        <w:bidi w:val="0"/>
        <w:adjustRightInd w:val="0"/>
        <w:snapToGrid w:val="0"/>
        <w:spacing w:beforeAutospacing="0" w:afterAutospacing="0" w:line="568" w:lineRule="exact"/>
        <w:ind w:firstLine="422" w:firstLineChars="200"/>
        <w:jc w:val="left"/>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 xml:space="preserve">7.6不利物质条件 </w:t>
      </w:r>
    </w:p>
    <w:p w14:paraId="73BA90BD">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不利物质条件的其他情形和有关约定：</w:t>
      </w:r>
      <w:r>
        <w:rPr>
          <w:rFonts w:hint="eastAsia" w:ascii="仿宋" w:hAnsi="仿宋" w:eastAsia="仿宋" w:cs="仿宋"/>
          <w:color w:val="auto"/>
          <w:kern w:val="0"/>
          <w:sz w:val="21"/>
          <w:szCs w:val="21"/>
          <w:highlight w:val="none"/>
          <w:u w:val="single"/>
          <w:lang w:val="en-US" w:eastAsia="zh-CN"/>
        </w:rPr>
        <w:t>/</w:t>
      </w:r>
      <w:r>
        <w:rPr>
          <w:rFonts w:hint="eastAsia" w:ascii="仿宋" w:hAnsi="仿宋" w:eastAsia="仿宋" w:cs="仿宋"/>
          <w:color w:val="auto"/>
          <w:kern w:val="0"/>
          <w:sz w:val="21"/>
          <w:szCs w:val="21"/>
          <w:highlight w:val="none"/>
          <w:u w:val="single"/>
        </w:rPr>
        <w:t>。</w:t>
      </w:r>
    </w:p>
    <w:p w14:paraId="5FDB4185">
      <w:pPr>
        <w:pageBreakBefore w:val="0"/>
        <w:shd w:val="clear"/>
        <w:autoSpaceDE w:val="0"/>
        <w:autoSpaceDN w:val="0"/>
        <w:bidi w:val="0"/>
        <w:adjustRightInd w:val="0"/>
        <w:snapToGrid w:val="0"/>
        <w:spacing w:beforeAutospacing="0" w:afterAutospacing="0" w:line="568" w:lineRule="exact"/>
        <w:ind w:firstLine="422" w:firstLineChars="200"/>
        <w:jc w:val="left"/>
        <w:rPr>
          <w:rFonts w:hint="eastAsia" w:ascii="仿宋" w:hAnsi="仿宋" w:eastAsia="仿宋" w:cs="仿宋"/>
          <w:color w:val="auto"/>
          <w:kern w:val="0"/>
          <w:sz w:val="21"/>
          <w:szCs w:val="21"/>
          <w:highlight w:val="none"/>
        </w:rPr>
      </w:pPr>
      <w:r>
        <w:rPr>
          <w:rFonts w:hint="eastAsia" w:ascii="仿宋" w:hAnsi="仿宋" w:eastAsia="仿宋" w:cs="仿宋"/>
          <w:b/>
          <w:bCs/>
          <w:color w:val="auto"/>
          <w:kern w:val="0"/>
          <w:sz w:val="21"/>
          <w:szCs w:val="21"/>
          <w:highlight w:val="none"/>
        </w:rPr>
        <w:t xml:space="preserve">7.7异常恶劣的气候条件 </w:t>
      </w:r>
    </w:p>
    <w:p w14:paraId="4ACA7A71">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发包人和承包人同意以下情形视为异常恶劣的气候条件：</w:t>
      </w:r>
      <w:r>
        <w:rPr>
          <w:rFonts w:hint="eastAsia" w:ascii="仿宋" w:hAnsi="仿宋" w:eastAsia="仿宋" w:cs="仿宋"/>
          <w:color w:val="auto"/>
          <w:kern w:val="0"/>
          <w:sz w:val="21"/>
          <w:szCs w:val="21"/>
          <w:highlight w:val="none"/>
          <w:u w:val="single"/>
        </w:rPr>
        <w:t>50年以上一遇的气候灾害，以国家气象部门公开发布的信息为准。</w:t>
      </w:r>
    </w:p>
    <w:p w14:paraId="2F60F200">
      <w:pPr>
        <w:pageBreakBefore w:val="0"/>
        <w:shd w:val="clear"/>
        <w:autoSpaceDE w:val="0"/>
        <w:autoSpaceDN w:val="0"/>
        <w:bidi w:val="0"/>
        <w:adjustRightInd w:val="0"/>
        <w:snapToGrid w:val="0"/>
        <w:spacing w:beforeAutospacing="0" w:afterAutospacing="0" w:line="568" w:lineRule="exact"/>
        <w:ind w:firstLine="422" w:firstLineChars="200"/>
        <w:jc w:val="left"/>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7.9提前竣工</w:t>
      </w:r>
    </w:p>
    <w:p w14:paraId="6C901A22">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7.9.2</w:t>
      </w:r>
      <w:r>
        <w:rPr>
          <w:rFonts w:hint="eastAsia" w:ascii="仿宋" w:hAnsi="仿宋" w:eastAsia="仿宋" w:cs="仿宋"/>
          <w:color w:val="auto"/>
          <w:sz w:val="21"/>
          <w:szCs w:val="21"/>
          <w:highlight w:val="none"/>
        </w:rPr>
        <w:t>提前竣工的奖励：</w:t>
      </w:r>
      <w:r>
        <w:rPr>
          <w:rFonts w:hint="eastAsia" w:ascii="仿宋" w:hAnsi="仿宋" w:eastAsia="仿宋" w:cs="仿宋"/>
          <w:color w:val="auto"/>
          <w:kern w:val="0"/>
          <w:sz w:val="21"/>
          <w:szCs w:val="21"/>
          <w:highlight w:val="none"/>
          <w:u w:val="single"/>
        </w:rPr>
        <w:t>无。</w:t>
      </w:r>
    </w:p>
    <w:p w14:paraId="5C836709">
      <w:pPr>
        <w:pageBreakBefore w:val="0"/>
        <w:shd w:val="clear"/>
        <w:autoSpaceDE w:val="0"/>
        <w:autoSpaceDN w:val="0"/>
        <w:bidi w:val="0"/>
        <w:adjustRightInd w:val="0"/>
        <w:snapToGrid w:val="0"/>
        <w:spacing w:beforeAutospacing="0" w:afterAutospacing="0" w:line="568" w:lineRule="exact"/>
        <w:jc w:val="left"/>
        <w:rPr>
          <w:rFonts w:ascii="仿宋" w:hAnsi="仿宋" w:eastAsia="仿宋" w:cs="仿宋"/>
          <w:b/>
          <w:bCs/>
          <w:color w:val="auto"/>
          <w:kern w:val="0"/>
          <w:sz w:val="21"/>
          <w:szCs w:val="21"/>
          <w:highlight w:val="none"/>
        </w:rPr>
      </w:pPr>
      <w:bookmarkStart w:id="58" w:name="_Toc37169023"/>
      <w:r>
        <w:rPr>
          <w:rFonts w:ascii="仿宋" w:hAnsi="仿宋" w:eastAsia="仿宋" w:cs="仿宋"/>
          <w:b/>
          <w:bCs/>
          <w:color w:val="auto"/>
          <w:kern w:val="0"/>
          <w:sz w:val="21"/>
          <w:szCs w:val="21"/>
          <w:highlight w:val="none"/>
        </w:rPr>
        <w:t>8.材料与设备</w:t>
      </w:r>
      <w:bookmarkEnd w:id="58"/>
    </w:p>
    <w:p w14:paraId="2C25C9EB">
      <w:pPr>
        <w:pageBreakBefore w:val="0"/>
        <w:shd w:val="clear"/>
        <w:autoSpaceDE w:val="0"/>
        <w:autoSpaceDN w:val="0"/>
        <w:bidi w:val="0"/>
        <w:adjustRightInd w:val="0"/>
        <w:snapToGrid w:val="0"/>
        <w:spacing w:beforeAutospacing="0" w:afterAutospacing="0" w:line="568" w:lineRule="exact"/>
        <w:ind w:firstLine="422" w:firstLineChars="200"/>
        <w:jc w:val="left"/>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 xml:space="preserve">8.4 材料与工程设备的保管与使用 </w:t>
      </w:r>
    </w:p>
    <w:p w14:paraId="64C3155A">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b w:val="0"/>
          <w:bCs w:val="0"/>
          <w:color w:val="auto"/>
          <w:kern w:val="0"/>
          <w:sz w:val="21"/>
          <w:szCs w:val="21"/>
          <w:highlight w:val="none"/>
        </w:rPr>
      </w:pPr>
      <w:r>
        <w:rPr>
          <w:rFonts w:hint="eastAsia" w:ascii="仿宋" w:hAnsi="仿宋" w:eastAsia="仿宋" w:cs="仿宋"/>
          <w:b w:val="0"/>
          <w:bCs w:val="0"/>
          <w:color w:val="auto"/>
          <w:kern w:val="0"/>
          <w:sz w:val="21"/>
          <w:szCs w:val="21"/>
          <w:highlight w:val="none"/>
        </w:rPr>
        <w:t>8.4.1 发包人供应的材料设备的保管费用的承担：</w:t>
      </w:r>
      <w:r>
        <w:rPr>
          <w:rFonts w:hint="eastAsia" w:ascii="仿宋" w:hAnsi="仿宋" w:eastAsia="仿宋" w:cs="仿宋"/>
          <w:b w:val="0"/>
          <w:bCs w:val="0"/>
          <w:color w:val="auto"/>
          <w:kern w:val="0"/>
          <w:sz w:val="21"/>
          <w:szCs w:val="21"/>
          <w:highlight w:val="none"/>
          <w:u w:val="single"/>
        </w:rPr>
        <w:t>无</w:t>
      </w:r>
      <w:r>
        <w:rPr>
          <w:rFonts w:hint="eastAsia" w:ascii="仿宋" w:hAnsi="仿宋" w:eastAsia="仿宋" w:cs="仿宋"/>
          <w:b w:val="0"/>
          <w:bCs w:val="0"/>
          <w:color w:val="auto"/>
          <w:kern w:val="0"/>
          <w:sz w:val="21"/>
          <w:szCs w:val="21"/>
          <w:highlight w:val="none"/>
        </w:rPr>
        <w:t>。</w:t>
      </w:r>
    </w:p>
    <w:p w14:paraId="4E84E627">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b w:val="0"/>
          <w:bCs w:val="0"/>
          <w:color w:val="auto"/>
          <w:kern w:val="0"/>
          <w:sz w:val="21"/>
          <w:szCs w:val="21"/>
          <w:highlight w:val="none"/>
        </w:rPr>
      </w:pPr>
      <w:r>
        <w:rPr>
          <w:rFonts w:hint="eastAsia" w:ascii="仿宋" w:hAnsi="仿宋" w:eastAsia="仿宋" w:cs="仿宋"/>
          <w:b w:val="0"/>
          <w:bCs w:val="0"/>
          <w:color w:val="auto"/>
          <w:kern w:val="0"/>
          <w:sz w:val="21"/>
          <w:szCs w:val="21"/>
          <w:highlight w:val="none"/>
        </w:rPr>
        <w:t>8.4.2 承包人提供的材料和工程设备</w:t>
      </w:r>
    </w:p>
    <w:p w14:paraId="5A1D44EF">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b w:val="0"/>
          <w:bCs w:val="0"/>
          <w:color w:val="auto"/>
          <w:kern w:val="0"/>
          <w:sz w:val="21"/>
          <w:szCs w:val="21"/>
          <w:highlight w:val="none"/>
        </w:rPr>
      </w:pPr>
      <w:r>
        <w:rPr>
          <w:rFonts w:hint="eastAsia" w:ascii="仿宋" w:hAnsi="仿宋" w:eastAsia="仿宋" w:cs="仿宋"/>
          <w:b w:val="0"/>
          <w:bCs w:val="0"/>
          <w:color w:val="auto"/>
          <w:kern w:val="0"/>
          <w:sz w:val="21"/>
          <w:szCs w:val="21"/>
          <w:highlight w:val="none"/>
        </w:rPr>
        <w:t>8.4.2.1 承包人提供的材料和设备应符合发包人的相关要求，无要求的按国家相应标准执行。</w:t>
      </w:r>
    </w:p>
    <w:p w14:paraId="2642F109">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b w:val="0"/>
          <w:bCs w:val="0"/>
          <w:color w:val="auto"/>
          <w:kern w:val="0"/>
          <w:sz w:val="21"/>
          <w:szCs w:val="21"/>
          <w:highlight w:val="none"/>
        </w:rPr>
      </w:pPr>
      <w:r>
        <w:rPr>
          <w:rFonts w:hint="eastAsia" w:ascii="仿宋" w:hAnsi="仿宋" w:eastAsia="仿宋" w:cs="仿宋"/>
          <w:b w:val="0"/>
          <w:bCs w:val="0"/>
          <w:color w:val="auto"/>
          <w:kern w:val="0"/>
          <w:sz w:val="21"/>
          <w:szCs w:val="21"/>
          <w:highlight w:val="none"/>
        </w:rPr>
        <w:t>8.4.2.2 对承包人提供的材料和工程设备，承包人应进行检验和交货验收，查验材料合格证明和产品合格证书，并按合同约定，进行材料的抽样检验和工程设备的检验测试，检验和测试结果应提交发包人，所需费用已包含在本合同总价中。</w:t>
      </w:r>
    </w:p>
    <w:p w14:paraId="22F8F6AE">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b w:val="0"/>
          <w:bCs w:val="0"/>
          <w:color w:val="auto"/>
          <w:kern w:val="0"/>
          <w:sz w:val="21"/>
          <w:szCs w:val="21"/>
          <w:highlight w:val="none"/>
        </w:rPr>
      </w:pPr>
      <w:r>
        <w:rPr>
          <w:rFonts w:hint="eastAsia" w:ascii="仿宋" w:hAnsi="仿宋" w:eastAsia="仿宋" w:cs="仿宋"/>
          <w:b w:val="0"/>
          <w:bCs w:val="0"/>
          <w:color w:val="auto"/>
          <w:kern w:val="0"/>
          <w:sz w:val="21"/>
          <w:szCs w:val="21"/>
          <w:highlight w:val="none"/>
        </w:rPr>
        <w:t>8.4.2.3 承包人需协助提供散装水泥、新型材料（如有）等材料使用的相关证明文件（如发票等），如因承包人不及时履行此义务，给发包人带来的损失，由承包人承担，从承包人工程款中扣除。</w:t>
      </w:r>
    </w:p>
    <w:p w14:paraId="6F0F085E">
      <w:pPr>
        <w:pageBreakBefore w:val="0"/>
        <w:shd w:val="clear"/>
        <w:autoSpaceDE w:val="0"/>
        <w:autoSpaceDN w:val="0"/>
        <w:bidi w:val="0"/>
        <w:adjustRightInd w:val="0"/>
        <w:snapToGrid w:val="0"/>
        <w:spacing w:beforeAutospacing="0" w:afterAutospacing="0" w:line="568" w:lineRule="exact"/>
        <w:ind w:firstLine="422" w:firstLineChars="200"/>
        <w:jc w:val="left"/>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8.6样品</w:t>
      </w:r>
    </w:p>
    <w:p w14:paraId="2A1325A7">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8.6.1 样品的报送与封存</w:t>
      </w:r>
    </w:p>
    <w:p w14:paraId="20BB2136">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需要承包人报送样品的材料或工程设备，样品的种类、名称、规格、数量要求：</w:t>
      </w:r>
      <w:r>
        <w:rPr>
          <w:rFonts w:hint="eastAsia" w:ascii="仿宋" w:hAnsi="仿宋" w:eastAsia="仿宋" w:cs="仿宋"/>
          <w:color w:val="auto"/>
          <w:sz w:val="21"/>
          <w:szCs w:val="21"/>
          <w:highlight w:val="none"/>
          <w:u w:val="single"/>
          <w:lang w:val="en-US" w:eastAsia="zh-CN"/>
        </w:rPr>
        <w:t>/</w:t>
      </w:r>
      <w:r>
        <w:rPr>
          <w:rFonts w:hint="eastAsia" w:ascii="仿宋" w:hAnsi="仿宋" w:eastAsia="仿宋" w:cs="仿宋"/>
          <w:color w:val="auto"/>
          <w:sz w:val="21"/>
          <w:szCs w:val="21"/>
          <w:highlight w:val="none"/>
          <w:u w:val="single"/>
        </w:rPr>
        <w:t>。</w:t>
      </w:r>
    </w:p>
    <w:p w14:paraId="31A31060">
      <w:pPr>
        <w:pageBreakBefore w:val="0"/>
        <w:shd w:val="clear"/>
        <w:autoSpaceDE w:val="0"/>
        <w:autoSpaceDN w:val="0"/>
        <w:bidi w:val="0"/>
        <w:adjustRightInd w:val="0"/>
        <w:snapToGrid w:val="0"/>
        <w:spacing w:beforeAutospacing="0" w:afterAutospacing="0" w:line="568" w:lineRule="exact"/>
        <w:ind w:firstLine="422" w:firstLineChars="200"/>
        <w:jc w:val="left"/>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8.8施工设备和临时设施</w:t>
      </w:r>
    </w:p>
    <w:p w14:paraId="2C3A45A6">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b w:val="0"/>
          <w:bCs w:val="0"/>
          <w:color w:val="auto"/>
          <w:kern w:val="0"/>
          <w:sz w:val="21"/>
          <w:szCs w:val="21"/>
          <w:highlight w:val="none"/>
        </w:rPr>
      </w:pPr>
      <w:bookmarkStart w:id="59" w:name="_Toc37169024"/>
      <w:r>
        <w:rPr>
          <w:rFonts w:hint="eastAsia" w:ascii="仿宋" w:hAnsi="仿宋" w:eastAsia="仿宋" w:cs="仿宋"/>
          <w:b w:val="0"/>
          <w:bCs w:val="0"/>
          <w:color w:val="auto"/>
          <w:kern w:val="0"/>
          <w:sz w:val="21"/>
          <w:szCs w:val="21"/>
          <w:highlight w:val="none"/>
        </w:rPr>
        <w:t>8.8.1 承包人提供的施工设备和临时设施</w:t>
      </w:r>
    </w:p>
    <w:p w14:paraId="1E86898C">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b w:val="0"/>
          <w:bCs w:val="0"/>
          <w:color w:val="auto"/>
          <w:kern w:val="0"/>
          <w:sz w:val="21"/>
          <w:szCs w:val="21"/>
          <w:highlight w:val="none"/>
          <w:u w:val="single"/>
        </w:rPr>
      </w:pPr>
      <w:r>
        <w:rPr>
          <w:rFonts w:hint="eastAsia" w:ascii="仿宋" w:hAnsi="仿宋" w:eastAsia="仿宋" w:cs="仿宋"/>
          <w:b w:val="0"/>
          <w:bCs w:val="0"/>
          <w:color w:val="auto"/>
          <w:kern w:val="0"/>
          <w:sz w:val="21"/>
          <w:szCs w:val="21"/>
          <w:highlight w:val="none"/>
        </w:rPr>
        <w:t>关于修建临时设施费用承担的约定：</w:t>
      </w:r>
      <w:r>
        <w:rPr>
          <w:rFonts w:hint="eastAsia" w:ascii="仿宋" w:hAnsi="仿宋" w:eastAsia="仿宋" w:cs="仿宋"/>
          <w:b w:val="0"/>
          <w:bCs w:val="0"/>
          <w:color w:val="auto"/>
          <w:kern w:val="0"/>
          <w:sz w:val="21"/>
          <w:szCs w:val="21"/>
          <w:highlight w:val="none"/>
          <w:u w:val="single"/>
        </w:rPr>
        <w:t>由承包人承担，已包含在合同价格内。</w:t>
      </w:r>
    </w:p>
    <w:p w14:paraId="1FBCFEA3">
      <w:pPr>
        <w:pageBreakBefore w:val="0"/>
        <w:shd w:val="clear"/>
        <w:autoSpaceDE w:val="0"/>
        <w:autoSpaceDN w:val="0"/>
        <w:bidi w:val="0"/>
        <w:adjustRightInd w:val="0"/>
        <w:snapToGrid w:val="0"/>
        <w:spacing w:beforeAutospacing="0" w:afterAutospacing="0" w:line="568" w:lineRule="exact"/>
        <w:ind w:firstLine="422" w:firstLineChars="200"/>
        <w:jc w:val="left"/>
        <w:rPr>
          <w:rFonts w:ascii="仿宋" w:hAnsi="仿宋" w:eastAsia="仿宋" w:cs="仿宋"/>
          <w:b/>
          <w:bCs/>
          <w:color w:val="auto"/>
          <w:kern w:val="0"/>
          <w:sz w:val="21"/>
          <w:szCs w:val="21"/>
          <w:highlight w:val="none"/>
        </w:rPr>
      </w:pPr>
      <w:r>
        <w:rPr>
          <w:rFonts w:ascii="仿宋" w:hAnsi="仿宋" w:eastAsia="仿宋" w:cs="仿宋"/>
          <w:b/>
          <w:bCs/>
          <w:color w:val="auto"/>
          <w:kern w:val="0"/>
          <w:sz w:val="21"/>
          <w:szCs w:val="21"/>
          <w:highlight w:val="none"/>
        </w:rPr>
        <w:t>9</w:t>
      </w:r>
      <w:r>
        <w:rPr>
          <w:rFonts w:hint="eastAsia" w:ascii="仿宋" w:hAnsi="仿宋" w:eastAsia="仿宋" w:cs="仿宋"/>
          <w:b/>
          <w:bCs/>
          <w:color w:val="auto"/>
          <w:kern w:val="0"/>
          <w:sz w:val="21"/>
          <w:szCs w:val="21"/>
          <w:highlight w:val="none"/>
        </w:rPr>
        <w:t>.</w:t>
      </w:r>
      <w:r>
        <w:rPr>
          <w:rFonts w:ascii="仿宋" w:hAnsi="仿宋" w:eastAsia="仿宋" w:cs="仿宋"/>
          <w:b/>
          <w:bCs/>
          <w:color w:val="auto"/>
          <w:kern w:val="0"/>
          <w:sz w:val="21"/>
          <w:szCs w:val="21"/>
          <w:highlight w:val="none"/>
        </w:rPr>
        <w:t>试验与检验</w:t>
      </w:r>
      <w:bookmarkEnd w:id="59"/>
    </w:p>
    <w:p w14:paraId="1E903739">
      <w:pPr>
        <w:pageBreakBefore w:val="0"/>
        <w:shd w:val="clear"/>
        <w:autoSpaceDE w:val="0"/>
        <w:autoSpaceDN w:val="0"/>
        <w:bidi w:val="0"/>
        <w:adjustRightInd w:val="0"/>
        <w:snapToGrid w:val="0"/>
        <w:spacing w:beforeAutospacing="0" w:afterAutospacing="0" w:line="568" w:lineRule="exact"/>
        <w:ind w:firstLine="420" w:firstLineChars="200"/>
        <w:jc w:val="left"/>
        <w:rPr>
          <w:rFonts w:hint="eastAsia" w:ascii="仿宋" w:hAnsi="仿宋" w:eastAsia="仿宋" w:cs="仿宋"/>
          <w:b w:val="0"/>
          <w:bCs w:val="0"/>
          <w:color w:val="auto"/>
          <w:kern w:val="0"/>
          <w:sz w:val="21"/>
          <w:szCs w:val="21"/>
          <w:highlight w:val="none"/>
        </w:rPr>
      </w:pPr>
      <w:r>
        <w:rPr>
          <w:rFonts w:hint="eastAsia" w:ascii="仿宋" w:hAnsi="仿宋" w:eastAsia="仿宋" w:cs="仿宋"/>
          <w:b w:val="0"/>
          <w:bCs w:val="0"/>
          <w:color w:val="auto"/>
          <w:kern w:val="0"/>
          <w:sz w:val="21"/>
          <w:szCs w:val="21"/>
          <w:highlight w:val="none"/>
        </w:rPr>
        <w:t>试验与检验费用的约定：</w:t>
      </w:r>
      <w:r>
        <w:rPr>
          <w:rFonts w:hint="eastAsia" w:ascii="仿宋" w:hAnsi="仿宋" w:eastAsia="仿宋" w:cs="仿宋"/>
          <w:b w:val="0"/>
          <w:bCs w:val="0"/>
          <w:color w:val="auto"/>
          <w:kern w:val="0"/>
          <w:sz w:val="21"/>
          <w:szCs w:val="21"/>
          <w:highlight w:val="none"/>
          <w:u w:val="single"/>
        </w:rPr>
        <w:t>所有进场的材料、设备及功能性检测必须按规定进行现场见证取样检测，所产生的材料检验试验费由承包人承担。</w:t>
      </w:r>
    </w:p>
    <w:p w14:paraId="1F50514F">
      <w:pPr>
        <w:pageBreakBefore w:val="0"/>
        <w:shd w:val="clear"/>
        <w:autoSpaceDE w:val="0"/>
        <w:autoSpaceDN w:val="0"/>
        <w:bidi w:val="0"/>
        <w:adjustRightInd w:val="0"/>
        <w:snapToGrid w:val="0"/>
        <w:spacing w:beforeAutospacing="0" w:afterAutospacing="0" w:line="568" w:lineRule="exact"/>
        <w:ind w:firstLine="422" w:firstLineChars="200"/>
        <w:rPr>
          <w:rFonts w:hint="eastAsia" w:ascii="仿宋" w:hAnsi="仿宋" w:eastAsia="仿宋" w:cs="仿宋"/>
          <w:color w:val="auto"/>
          <w:sz w:val="21"/>
          <w:szCs w:val="21"/>
          <w:highlight w:val="none"/>
        </w:rPr>
      </w:pPr>
      <w:bookmarkStart w:id="60" w:name="_Toc37169025"/>
      <w:r>
        <w:rPr>
          <w:rFonts w:hint="eastAsia" w:ascii="仿宋" w:hAnsi="仿宋" w:eastAsia="仿宋" w:cs="仿宋"/>
          <w:b/>
          <w:bCs/>
          <w:color w:val="auto"/>
          <w:sz w:val="21"/>
          <w:szCs w:val="21"/>
          <w:highlight w:val="none"/>
        </w:rPr>
        <w:t>10.变更</w:t>
      </w:r>
      <w:bookmarkEnd w:id="60"/>
    </w:p>
    <w:p w14:paraId="37D988B6">
      <w:pPr>
        <w:pageBreakBefore w:val="0"/>
        <w:shd w:val="clear"/>
        <w:autoSpaceDE w:val="0"/>
        <w:autoSpaceDN w:val="0"/>
        <w:bidi w:val="0"/>
        <w:adjustRightInd w:val="0"/>
        <w:snapToGrid w:val="0"/>
        <w:spacing w:beforeAutospacing="0" w:afterAutospacing="0" w:line="568" w:lineRule="exact"/>
        <w:ind w:firstLine="420" w:firstLineChars="200"/>
        <w:rPr>
          <w:rFonts w:hint="eastAsia" w:ascii="仿宋" w:hAnsi="仿宋" w:eastAsia="仿宋" w:cs="仿宋"/>
          <w:b w:val="0"/>
          <w:bCs w:val="0"/>
          <w:color w:val="auto"/>
          <w:kern w:val="0"/>
          <w:sz w:val="21"/>
          <w:szCs w:val="21"/>
          <w:highlight w:val="none"/>
        </w:rPr>
      </w:pPr>
      <w:r>
        <w:rPr>
          <w:rFonts w:hint="eastAsia" w:ascii="仿宋" w:hAnsi="仿宋" w:eastAsia="仿宋" w:cs="仿宋"/>
          <w:b w:val="0"/>
          <w:bCs w:val="0"/>
          <w:color w:val="auto"/>
          <w:kern w:val="0"/>
          <w:sz w:val="21"/>
          <w:szCs w:val="21"/>
          <w:highlight w:val="none"/>
        </w:rPr>
        <w:t>10.1.2变更估价</w:t>
      </w:r>
    </w:p>
    <w:p w14:paraId="527328CD">
      <w:pPr>
        <w:pageBreakBefore w:val="0"/>
        <w:shd w:val="clear"/>
        <w:autoSpaceDE w:val="0"/>
        <w:autoSpaceDN w:val="0"/>
        <w:bidi w:val="0"/>
        <w:adjustRightInd w:val="0"/>
        <w:snapToGrid w:val="0"/>
        <w:spacing w:beforeAutospacing="0" w:afterAutospacing="0" w:line="568" w:lineRule="exact"/>
        <w:ind w:firstLine="420" w:firstLineChars="200"/>
        <w:rPr>
          <w:rFonts w:hint="eastAsia" w:ascii="仿宋" w:hAnsi="仿宋" w:eastAsia="仿宋" w:cs="仿宋"/>
          <w:b w:val="0"/>
          <w:bCs w:val="0"/>
          <w:color w:val="auto"/>
          <w:kern w:val="0"/>
          <w:sz w:val="21"/>
          <w:szCs w:val="21"/>
          <w:highlight w:val="none"/>
          <w:lang w:eastAsia="zh-CN"/>
        </w:rPr>
      </w:pPr>
      <w:r>
        <w:rPr>
          <w:rFonts w:hint="eastAsia" w:ascii="仿宋" w:hAnsi="仿宋" w:eastAsia="仿宋" w:cs="仿宋"/>
          <w:b w:val="0"/>
          <w:bCs w:val="0"/>
          <w:color w:val="auto"/>
          <w:kern w:val="0"/>
          <w:sz w:val="21"/>
          <w:szCs w:val="21"/>
          <w:highlight w:val="none"/>
        </w:rPr>
        <w:t>10.1.2.1 通用条款中关于变更估价原则</w:t>
      </w:r>
      <w:r>
        <w:rPr>
          <w:rFonts w:hint="eastAsia" w:ascii="仿宋" w:hAnsi="仿宋" w:eastAsia="仿宋" w:cs="仿宋"/>
          <w:b w:val="0"/>
          <w:bCs w:val="0"/>
          <w:color w:val="auto"/>
          <w:kern w:val="0"/>
          <w:sz w:val="21"/>
          <w:szCs w:val="21"/>
          <w:highlight w:val="none"/>
          <w:lang w:eastAsia="zh-CN"/>
        </w:rPr>
        <w:t>，</w:t>
      </w:r>
      <w:r>
        <w:rPr>
          <w:rFonts w:hint="eastAsia" w:ascii="仿宋" w:hAnsi="仿宋" w:eastAsia="仿宋" w:cs="仿宋"/>
          <w:b w:val="0"/>
          <w:bCs w:val="0"/>
          <w:color w:val="auto"/>
          <w:kern w:val="0"/>
          <w:sz w:val="21"/>
          <w:szCs w:val="21"/>
          <w:highlight w:val="none"/>
        </w:rPr>
        <w:t>调整如下</w:t>
      </w:r>
      <w:r>
        <w:rPr>
          <w:rFonts w:hint="eastAsia" w:ascii="仿宋" w:hAnsi="仿宋" w:eastAsia="仿宋" w:cs="仿宋"/>
          <w:b w:val="0"/>
          <w:bCs w:val="0"/>
          <w:color w:val="auto"/>
          <w:kern w:val="0"/>
          <w:sz w:val="21"/>
          <w:szCs w:val="21"/>
          <w:highlight w:val="none"/>
          <w:lang w:eastAsia="zh-CN"/>
        </w:rPr>
        <w:t>：</w:t>
      </w:r>
    </w:p>
    <w:p w14:paraId="64C22905">
      <w:pPr>
        <w:pageBreakBefore w:val="0"/>
        <w:shd w:val="clear"/>
        <w:autoSpaceDE w:val="0"/>
        <w:autoSpaceDN w:val="0"/>
        <w:bidi w:val="0"/>
        <w:adjustRightInd w:val="0"/>
        <w:snapToGrid w:val="0"/>
        <w:spacing w:beforeAutospacing="0" w:afterAutospacing="0" w:line="568" w:lineRule="exact"/>
        <w:ind w:firstLine="422" w:firstLineChars="200"/>
        <w:rPr>
          <w:rFonts w:hint="eastAsia" w:ascii="仿宋" w:hAnsi="仿宋" w:eastAsia="仿宋" w:cs="仿宋"/>
          <w:b w:val="0"/>
          <w:bCs w:val="0"/>
          <w:color w:val="auto"/>
          <w:kern w:val="0"/>
          <w:sz w:val="21"/>
          <w:szCs w:val="21"/>
          <w:highlight w:val="none"/>
        </w:rPr>
      </w:pPr>
      <w:r>
        <w:rPr>
          <w:rFonts w:hint="eastAsia" w:ascii="仿宋" w:hAnsi="仿宋" w:eastAsia="仿宋" w:cs="仿宋"/>
          <w:b/>
          <w:bCs/>
          <w:color w:val="auto"/>
          <w:kern w:val="0"/>
          <w:sz w:val="21"/>
          <w:szCs w:val="21"/>
          <w:highlight w:val="none"/>
        </w:rPr>
        <w:t>中标价工程量清单中有适用于变更项目的单价时</w:t>
      </w:r>
      <w:r>
        <w:rPr>
          <w:rFonts w:hint="eastAsia" w:ascii="仿宋" w:hAnsi="仿宋" w:eastAsia="仿宋" w:cs="仿宋"/>
          <w:b w:val="0"/>
          <w:bCs w:val="0"/>
          <w:color w:val="auto"/>
          <w:kern w:val="0"/>
          <w:sz w:val="21"/>
          <w:szCs w:val="21"/>
          <w:highlight w:val="none"/>
        </w:rPr>
        <w:t>：其单价按中标综合单价计价。</w:t>
      </w:r>
    </w:p>
    <w:p w14:paraId="5B52DB44">
      <w:pPr>
        <w:pageBreakBefore w:val="0"/>
        <w:shd w:val="clear"/>
        <w:autoSpaceDE w:val="0"/>
        <w:autoSpaceDN w:val="0"/>
        <w:bidi w:val="0"/>
        <w:adjustRightInd w:val="0"/>
        <w:snapToGrid w:val="0"/>
        <w:spacing w:beforeAutospacing="0" w:afterAutospacing="0" w:line="568" w:lineRule="exact"/>
        <w:ind w:firstLine="422" w:firstLineChars="200"/>
        <w:rPr>
          <w:rFonts w:hint="eastAsia" w:ascii="仿宋" w:hAnsi="仿宋" w:eastAsia="仿宋" w:cs="仿宋"/>
          <w:b w:val="0"/>
          <w:bCs w:val="0"/>
          <w:color w:val="auto"/>
          <w:kern w:val="0"/>
          <w:sz w:val="21"/>
          <w:szCs w:val="21"/>
          <w:highlight w:val="none"/>
        </w:rPr>
      </w:pPr>
      <w:r>
        <w:rPr>
          <w:rFonts w:hint="eastAsia" w:ascii="仿宋" w:hAnsi="仿宋" w:eastAsia="仿宋" w:cs="仿宋"/>
          <w:b/>
          <w:bCs/>
          <w:color w:val="auto"/>
          <w:kern w:val="0"/>
          <w:sz w:val="21"/>
          <w:szCs w:val="21"/>
          <w:highlight w:val="none"/>
        </w:rPr>
        <w:t>中标价工程量清单中无适应变更的子目，但有类似子目的</w:t>
      </w:r>
      <w:r>
        <w:rPr>
          <w:rFonts w:hint="eastAsia" w:ascii="仿宋" w:hAnsi="仿宋" w:eastAsia="仿宋" w:cs="仿宋"/>
          <w:b w:val="0"/>
          <w:bCs w:val="0"/>
          <w:color w:val="auto"/>
          <w:kern w:val="0"/>
          <w:sz w:val="21"/>
          <w:szCs w:val="21"/>
          <w:highlight w:val="none"/>
        </w:rPr>
        <w:t>：在合适范围内参照类似子目的综合单价，经换算后，由发包人</w:t>
      </w:r>
      <w:r>
        <w:rPr>
          <w:rFonts w:hint="eastAsia" w:ascii="仿宋" w:hAnsi="仿宋" w:eastAsia="仿宋" w:cs="仿宋"/>
          <w:b w:val="0"/>
          <w:bCs w:val="0"/>
          <w:color w:val="auto"/>
          <w:kern w:val="0"/>
          <w:sz w:val="21"/>
          <w:szCs w:val="21"/>
          <w:highlight w:val="none"/>
          <w:lang w:eastAsia="zh-CN"/>
        </w:rPr>
        <w:t>和长沙市芙蓉区相关部门</w:t>
      </w:r>
      <w:r>
        <w:rPr>
          <w:rFonts w:hint="eastAsia" w:ascii="仿宋" w:hAnsi="仿宋" w:eastAsia="仿宋" w:cs="仿宋"/>
          <w:b w:val="0"/>
          <w:bCs w:val="0"/>
          <w:color w:val="auto"/>
          <w:kern w:val="0"/>
          <w:sz w:val="21"/>
          <w:szCs w:val="21"/>
          <w:highlight w:val="none"/>
        </w:rPr>
        <w:t>确定变更工程的综合单价。</w:t>
      </w:r>
    </w:p>
    <w:p w14:paraId="56C0F71C">
      <w:pPr>
        <w:pageBreakBefore w:val="0"/>
        <w:shd w:val="clear"/>
        <w:autoSpaceDE w:val="0"/>
        <w:autoSpaceDN w:val="0"/>
        <w:bidi w:val="0"/>
        <w:adjustRightInd w:val="0"/>
        <w:snapToGrid w:val="0"/>
        <w:spacing w:beforeAutospacing="0" w:afterAutospacing="0" w:line="568" w:lineRule="exact"/>
        <w:ind w:firstLine="422" w:firstLineChars="200"/>
        <w:rPr>
          <w:rFonts w:hint="eastAsia" w:ascii="仿宋" w:hAnsi="仿宋" w:eastAsia="仿宋" w:cs="仿宋"/>
          <w:b w:val="0"/>
          <w:bCs w:val="0"/>
          <w:color w:val="auto"/>
          <w:kern w:val="0"/>
          <w:sz w:val="21"/>
          <w:szCs w:val="21"/>
          <w:highlight w:val="none"/>
        </w:rPr>
      </w:pPr>
      <w:r>
        <w:rPr>
          <w:rFonts w:hint="eastAsia" w:ascii="仿宋" w:hAnsi="仿宋" w:eastAsia="仿宋" w:cs="仿宋"/>
          <w:b/>
          <w:bCs/>
          <w:color w:val="auto"/>
          <w:kern w:val="0"/>
          <w:sz w:val="21"/>
          <w:szCs w:val="21"/>
          <w:highlight w:val="none"/>
        </w:rPr>
        <w:t>已标价工程量清单中无适用或类似子目的单价</w:t>
      </w:r>
      <w:r>
        <w:rPr>
          <w:rFonts w:hint="eastAsia" w:ascii="仿宋" w:hAnsi="仿宋" w:eastAsia="仿宋" w:cs="仿宋"/>
          <w:b w:val="0"/>
          <w:bCs w:val="0"/>
          <w:color w:val="auto"/>
          <w:kern w:val="0"/>
          <w:sz w:val="21"/>
          <w:szCs w:val="21"/>
          <w:highlight w:val="none"/>
        </w:rPr>
        <w:t>：首先采用芙蓉区</w:t>
      </w:r>
      <w:r>
        <w:rPr>
          <w:rFonts w:hint="eastAsia" w:ascii="仿宋" w:hAnsi="仿宋" w:eastAsia="仿宋" w:cs="仿宋"/>
          <w:b w:val="0"/>
          <w:bCs w:val="0"/>
          <w:color w:val="auto"/>
          <w:kern w:val="0"/>
          <w:sz w:val="21"/>
          <w:szCs w:val="21"/>
          <w:highlight w:val="none"/>
          <w:lang w:eastAsia="zh-CN"/>
        </w:rPr>
        <w:t>相关部门</w:t>
      </w:r>
      <w:r>
        <w:rPr>
          <w:rFonts w:hint="eastAsia" w:ascii="仿宋" w:hAnsi="仿宋" w:eastAsia="仿宋" w:cs="仿宋"/>
          <w:b w:val="0"/>
          <w:bCs w:val="0"/>
          <w:color w:val="auto"/>
          <w:kern w:val="0"/>
          <w:sz w:val="21"/>
          <w:szCs w:val="21"/>
          <w:highlight w:val="none"/>
        </w:rPr>
        <w:t>《预算评审数据参考》中的相关规定及开工当期《长沙建设造价》发布的预算价格；其次使用长沙市财政中心发布的统一价格，前面两者皆无的使用开工当期《长沙建设造价》发布的市场价（非厂商报价）并执行芙蓉区</w:t>
      </w:r>
      <w:r>
        <w:rPr>
          <w:rFonts w:hint="eastAsia" w:ascii="仿宋" w:hAnsi="仿宋" w:eastAsia="仿宋" w:cs="仿宋"/>
          <w:b w:val="0"/>
          <w:bCs w:val="0"/>
          <w:color w:val="auto"/>
          <w:kern w:val="0"/>
          <w:sz w:val="21"/>
          <w:szCs w:val="21"/>
          <w:highlight w:val="none"/>
          <w:lang w:eastAsia="zh-CN"/>
        </w:rPr>
        <w:t>相关部门</w:t>
      </w:r>
      <w:r>
        <w:rPr>
          <w:rFonts w:hint="eastAsia" w:ascii="仿宋" w:hAnsi="仿宋" w:eastAsia="仿宋" w:cs="仿宋"/>
          <w:b w:val="0"/>
          <w:bCs w:val="0"/>
          <w:color w:val="auto"/>
          <w:kern w:val="0"/>
          <w:sz w:val="21"/>
          <w:szCs w:val="21"/>
          <w:highlight w:val="none"/>
        </w:rPr>
        <w:t>《预算评审数据参考》中规定的折扣率；以上方式均无法定价的材料，由承包人针对无价材料及设备提出询价计划，发包人、承包人</w:t>
      </w:r>
      <w:r>
        <w:rPr>
          <w:rFonts w:hint="eastAsia" w:ascii="仿宋" w:hAnsi="仿宋" w:eastAsia="仿宋" w:cs="仿宋"/>
          <w:b w:val="0"/>
          <w:bCs w:val="0"/>
          <w:color w:val="auto"/>
          <w:kern w:val="0"/>
          <w:sz w:val="21"/>
          <w:szCs w:val="21"/>
          <w:highlight w:val="none"/>
          <w:lang w:eastAsia="zh-CN"/>
        </w:rPr>
        <w:t>、政府相关部门</w:t>
      </w:r>
      <w:r>
        <w:rPr>
          <w:rFonts w:hint="eastAsia" w:ascii="仿宋" w:hAnsi="仿宋" w:eastAsia="仿宋" w:cs="仿宋"/>
          <w:b w:val="0"/>
          <w:bCs w:val="0"/>
          <w:color w:val="auto"/>
          <w:kern w:val="0"/>
          <w:sz w:val="21"/>
          <w:szCs w:val="21"/>
          <w:highlight w:val="none"/>
        </w:rPr>
        <w:t>共同询价确定。</w:t>
      </w:r>
    </w:p>
    <w:p w14:paraId="6BFD84EA">
      <w:pPr>
        <w:pageBreakBefore w:val="0"/>
        <w:shd w:val="clear"/>
        <w:bidi w:val="0"/>
        <w:adjustRightInd w:val="0"/>
        <w:snapToGrid w:val="0"/>
        <w:spacing w:beforeAutospacing="0" w:afterAutospacing="0" w:line="568" w:lineRule="exact"/>
        <w:ind w:firstLine="422" w:firstLineChars="200"/>
        <w:jc w:val="left"/>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10.5 承包人的合理化建议</w:t>
      </w:r>
    </w:p>
    <w:p w14:paraId="46361E86">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b w:val="0"/>
          <w:bCs w:val="0"/>
          <w:color w:val="auto"/>
          <w:sz w:val="21"/>
          <w:szCs w:val="21"/>
          <w:highlight w:val="none"/>
          <w:u w:val="single"/>
        </w:rPr>
      </w:pPr>
      <w:r>
        <w:rPr>
          <w:rFonts w:hint="eastAsia" w:ascii="仿宋" w:hAnsi="仿宋" w:eastAsia="仿宋" w:cs="仿宋"/>
          <w:b w:val="0"/>
          <w:bCs w:val="0"/>
          <w:color w:val="auto"/>
          <w:sz w:val="21"/>
          <w:szCs w:val="21"/>
          <w:highlight w:val="none"/>
          <w:u w:val="none"/>
        </w:rPr>
        <w:t>监理人审查承包人合理化建议的期限</w:t>
      </w:r>
      <w:r>
        <w:rPr>
          <w:rFonts w:hint="eastAsia" w:ascii="仿宋" w:hAnsi="仿宋" w:eastAsia="仿宋" w:cs="仿宋"/>
          <w:b w:val="0"/>
          <w:bCs w:val="0"/>
          <w:color w:val="auto"/>
          <w:sz w:val="21"/>
          <w:szCs w:val="21"/>
          <w:highlight w:val="none"/>
          <w:u w:val="none"/>
          <w:lang w:eastAsia="zh-CN"/>
        </w:rPr>
        <w:t>：</w:t>
      </w:r>
      <w:r>
        <w:rPr>
          <w:rFonts w:hint="eastAsia" w:ascii="仿宋" w:hAnsi="仿宋" w:eastAsia="仿宋" w:cs="仿宋"/>
          <w:b w:val="0"/>
          <w:bCs w:val="0"/>
          <w:color w:val="auto"/>
          <w:sz w:val="21"/>
          <w:szCs w:val="21"/>
          <w:highlight w:val="none"/>
          <w:u w:val="single"/>
        </w:rPr>
        <w:t>按通用条款执行。</w:t>
      </w:r>
    </w:p>
    <w:p w14:paraId="2A5F121A">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b w:val="0"/>
          <w:bCs w:val="0"/>
          <w:color w:val="auto"/>
          <w:sz w:val="21"/>
          <w:szCs w:val="21"/>
          <w:highlight w:val="none"/>
          <w:u w:val="single"/>
        </w:rPr>
      </w:pPr>
      <w:r>
        <w:rPr>
          <w:rFonts w:hint="eastAsia" w:ascii="仿宋" w:hAnsi="仿宋" w:eastAsia="仿宋" w:cs="仿宋"/>
          <w:b w:val="0"/>
          <w:bCs w:val="0"/>
          <w:color w:val="auto"/>
          <w:sz w:val="21"/>
          <w:szCs w:val="21"/>
          <w:highlight w:val="none"/>
          <w:u w:val="none"/>
        </w:rPr>
        <w:t>发包人审批承包人合理化建议的期限：</w:t>
      </w:r>
      <w:r>
        <w:rPr>
          <w:rFonts w:hint="eastAsia" w:ascii="仿宋" w:hAnsi="仿宋" w:eastAsia="仿宋" w:cs="仿宋"/>
          <w:b w:val="0"/>
          <w:bCs w:val="0"/>
          <w:color w:val="auto"/>
          <w:sz w:val="21"/>
          <w:szCs w:val="21"/>
          <w:highlight w:val="none"/>
          <w:u w:val="single"/>
        </w:rPr>
        <w:t>按通用条款执行。</w:t>
      </w:r>
    </w:p>
    <w:p w14:paraId="7C54D7C3">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b w:val="0"/>
          <w:bCs w:val="0"/>
          <w:color w:val="auto"/>
          <w:sz w:val="21"/>
          <w:szCs w:val="21"/>
          <w:highlight w:val="none"/>
          <w:u w:val="single"/>
        </w:rPr>
      </w:pPr>
      <w:r>
        <w:rPr>
          <w:rFonts w:hint="eastAsia" w:ascii="仿宋" w:hAnsi="仿宋" w:eastAsia="仿宋" w:cs="仿宋"/>
          <w:b w:val="0"/>
          <w:bCs w:val="0"/>
          <w:color w:val="auto"/>
          <w:sz w:val="21"/>
          <w:szCs w:val="21"/>
          <w:highlight w:val="none"/>
          <w:u w:val="none"/>
        </w:rPr>
        <w:t>承包人提出的合理化建议降低了合同价格或者提高了工程经济效益的奖励的方法和金额为</w:t>
      </w:r>
      <w:r>
        <w:rPr>
          <w:rFonts w:hint="eastAsia" w:ascii="仿宋" w:hAnsi="仿宋" w:eastAsia="仿宋" w:cs="仿宋"/>
          <w:b w:val="0"/>
          <w:bCs w:val="0"/>
          <w:color w:val="auto"/>
          <w:sz w:val="21"/>
          <w:szCs w:val="21"/>
          <w:highlight w:val="none"/>
          <w:u w:val="none"/>
          <w:lang w:eastAsia="zh-CN"/>
        </w:rPr>
        <w:t>：</w:t>
      </w:r>
      <w:r>
        <w:rPr>
          <w:rFonts w:hint="eastAsia" w:ascii="仿宋" w:hAnsi="仿宋" w:eastAsia="仿宋" w:cs="仿宋"/>
          <w:b w:val="0"/>
          <w:bCs w:val="0"/>
          <w:color w:val="auto"/>
          <w:sz w:val="21"/>
          <w:szCs w:val="21"/>
          <w:highlight w:val="none"/>
          <w:u w:val="single"/>
          <w:lang w:val="en-US" w:eastAsia="zh-CN"/>
        </w:rPr>
        <w:t>无</w:t>
      </w:r>
      <w:r>
        <w:rPr>
          <w:rFonts w:hint="eastAsia" w:ascii="仿宋" w:hAnsi="仿宋" w:eastAsia="仿宋" w:cs="仿宋"/>
          <w:b w:val="0"/>
          <w:bCs w:val="0"/>
          <w:color w:val="auto"/>
          <w:sz w:val="21"/>
          <w:szCs w:val="21"/>
          <w:highlight w:val="none"/>
          <w:u w:val="single"/>
        </w:rPr>
        <w:t>。</w:t>
      </w:r>
    </w:p>
    <w:p w14:paraId="1351E6A3">
      <w:pPr>
        <w:pageBreakBefore w:val="0"/>
        <w:shd w:val="clear"/>
        <w:bidi w:val="0"/>
        <w:adjustRightInd w:val="0"/>
        <w:snapToGrid w:val="0"/>
        <w:spacing w:beforeAutospacing="0" w:afterAutospacing="0" w:line="568" w:lineRule="exact"/>
        <w:ind w:firstLine="422" w:firstLineChars="200"/>
        <w:jc w:val="left"/>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10.7暂估价</w:t>
      </w:r>
    </w:p>
    <w:p w14:paraId="586E7441">
      <w:pPr>
        <w:pStyle w:val="2"/>
        <w:pageBreakBefore w:val="0"/>
        <w:widowControl w:val="0"/>
        <w:shd w:val="clear"/>
        <w:autoSpaceDE w:val="0"/>
        <w:autoSpaceDN w:val="0"/>
        <w:bidi w:val="0"/>
        <w:adjustRightInd w:val="0"/>
        <w:snapToGrid w:val="0"/>
        <w:spacing w:beforeAutospacing="0" w:afterAutospacing="0" w:line="568"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10.7.1 依法必须招标的暂估价项目</w:t>
      </w:r>
    </w:p>
    <w:p w14:paraId="055BBD80">
      <w:pPr>
        <w:pStyle w:val="2"/>
        <w:pageBreakBefore w:val="0"/>
        <w:widowControl w:val="0"/>
        <w:shd w:val="clear"/>
        <w:autoSpaceDE w:val="0"/>
        <w:autoSpaceDN w:val="0"/>
        <w:bidi w:val="0"/>
        <w:adjustRightInd w:val="0"/>
        <w:snapToGrid w:val="0"/>
        <w:spacing w:beforeAutospacing="0" w:afterAutospacing="0" w:line="568"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对于依法必须招标的暂估价项目的确认和批准采取</w:t>
      </w:r>
      <w:r>
        <w:rPr>
          <w:rFonts w:hint="eastAsia" w:ascii="仿宋" w:hAnsi="仿宋" w:eastAsia="仿宋" w:cs="仿宋"/>
          <w:color w:val="auto"/>
          <w:sz w:val="21"/>
          <w:szCs w:val="21"/>
          <w:highlight w:val="none"/>
          <w:u w:val="single"/>
        </w:rPr>
        <w:t>发包人另行招标</w:t>
      </w:r>
      <w:r>
        <w:rPr>
          <w:rFonts w:hint="eastAsia" w:ascii="仿宋" w:hAnsi="仿宋" w:eastAsia="仿宋" w:cs="仿宋"/>
          <w:color w:val="auto"/>
          <w:sz w:val="21"/>
          <w:szCs w:val="21"/>
          <w:highlight w:val="none"/>
        </w:rPr>
        <w:t>的方式确定。</w:t>
      </w:r>
    </w:p>
    <w:p w14:paraId="2D053E97">
      <w:pPr>
        <w:pStyle w:val="2"/>
        <w:pageBreakBefore w:val="0"/>
        <w:widowControl w:val="0"/>
        <w:shd w:val="clear"/>
        <w:autoSpaceDE w:val="0"/>
        <w:autoSpaceDN w:val="0"/>
        <w:bidi w:val="0"/>
        <w:adjustRightInd w:val="0"/>
        <w:snapToGrid w:val="0"/>
        <w:spacing w:beforeAutospacing="0" w:afterAutospacing="0" w:line="568"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10.7.2 不属于依法必须招标的暂估价项目</w:t>
      </w:r>
    </w:p>
    <w:p w14:paraId="02D0AB10">
      <w:pPr>
        <w:pStyle w:val="2"/>
        <w:pageBreakBefore w:val="0"/>
        <w:widowControl w:val="0"/>
        <w:shd w:val="clear"/>
        <w:autoSpaceDE w:val="0"/>
        <w:autoSpaceDN w:val="0"/>
        <w:bidi w:val="0"/>
        <w:adjustRightInd w:val="0"/>
        <w:snapToGrid w:val="0"/>
        <w:spacing w:beforeAutospacing="0" w:afterAutospacing="0" w:line="568"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对于不属于依法必须招标的暂估价项目的确认和批准：</w:t>
      </w:r>
      <w:r>
        <w:rPr>
          <w:rFonts w:hint="eastAsia" w:ascii="仿宋" w:hAnsi="仿宋" w:eastAsia="仿宋" w:cs="仿宋"/>
          <w:color w:val="auto"/>
          <w:sz w:val="21"/>
          <w:szCs w:val="21"/>
          <w:highlight w:val="none"/>
          <w:u w:val="single"/>
        </w:rPr>
        <w:t>无</w:t>
      </w:r>
    </w:p>
    <w:p w14:paraId="25772741">
      <w:pPr>
        <w:pStyle w:val="2"/>
        <w:pageBreakBefore w:val="0"/>
        <w:widowControl w:val="0"/>
        <w:shd w:val="clear"/>
        <w:autoSpaceDE w:val="0"/>
        <w:autoSpaceDN w:val="0"/>
        <w:bidi w:val="0"/>
        <w:adjustRightInd w:val="0"/>
        <w:snapToGrid w:val="0"/>
        <w:spacing w:beforeAutospacing="0" w:afterAutospacing="0" w:line="568"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第3种方式：承包人直接实施的暂估价项目</w:t>
      </w:r>
    </w:p>
    <w:p w14:paraId="460DF984">
      <w:pPr>
        <w:pStyle w:val="2"/>
        <w:pageBreakBefore w:val="0"/>
        <w:widowControl w:val="0"/>
        <w:shd w:val="clear"/>
        <w:autoSpaceDE w:val="0"/>
        <w:autoSpaceDN w:val="0"/>
        <w:bidi w:val="0"/>
        <w:adjustRightInd w:val="0"/>
        <w:snapToGrid w:val="0"/>
        <w:spacing w:beforeAutospacing="0" w:afterAutospacing="0" w:line="568" w:lineRule="exact"/>
        <w:ind w:left="0" w:leftChars="0"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承包人直接实施的暂估价项目的约定：承包人具备实施暂估价项目的资格和条件的，经发包人和承包人协商一致后，可由承包人按芙蓉区审计、财政部门相关规定自行实施暂估价项目</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承包人不具备实施暂估价项目的资格和条件的，双方另行协商确定。</w:t>
      </w:r>
    </w:p>
    <w:p w14:paraId="7614D7E3">
      <w:pPr>
        <w:pStyle w:val="2"/>
        <w:pageBreakBefore w:val="0"/>
        <w:widowControl w:val="0"/>
        <w:shd w:val="clear"/>
        <w:autoSpaceDE w:val="0"/>
        <w:autoSpaceDN w:val="0"/>
        <w:bidi w:val="0"/>
        <w:adjustRightInd w:val="0"/>
        <w:snapToGrid w:val="0"/>
        <w:spacing w:beforeAutospacing="0" w:afterAutospacing="0" w:line="568"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承包人的权利和义务：</w:t>
      </w:r>
    </w:p>
    <w:p w14:paraId="2CC8C515">
      <w:pPr>
        <w:pStyle w:val="2"/>
        <w:pageBreakBefore w:val="0"/>
        <w:widowControl w:val="0"/>
        <w:shd w:val="clear"/>
        <w:autoSpaceDE w:val="0"/>
        <w:autoSpaceDN w:val="0"/>
        <w:bidi w:val="0"/>
        <w:adjustRightInd w:val="0"/>
        <w:snapToGrid w:val="0"/>
        <w:spacing w:beforeAutospacing="0" w:afterAutospacing="0" w:line="568" w:lineRule="exact"/>
        <w:ind w:left="0" w:leftChars="0"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对确定为暂估价的材料、工程设备和专业工程在满足施工总进度计划需求的前提下，提前报送采购专项计划，最终确定权属发包人。</w:t>
      </w:r>
    </w:p>
    <w:p w14:paraId="76104472">
      <w:pPr>
        <w:pageBreakBefore w:val="0"/>
        <w:shd w:val="clear"/>
        <w:bidi w:val="0"/>
        <w:adjustRightInd w:val="0"/>
        <w:snapToGrid w:val="0"/>
        <w:spacing w:beforeAutospacing="0" w:afterAutospacing="0" w:line="568" w:lineRule="exact"/>
        <w:ind w:firstLine="422" w:firstLineChars="200"/>
        <w:jc w:val="left"/>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10.8暂列金额</w:t>
      </w:r>
    </w:p>
    <w:p w14:paraId="61B7462A">
      <w:pPr>
        <w:pageBreakBefore w:val="0"/>
        <w:shd w:val="clear"/>
        <w:bidi w:val="0"/>
        <w:adjustRightInd w:val="0"/>
        <w:snapToGrid w:val="0"/>
        <w:spacing w:beforeAutospacing="0" w:afterAutospacing="0" w:line="568" w:lineRule="exact"/>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合同当事人关于暂列金额使用的约定：</w:t>
      </w:r>
      <w:r>
        <w:rPr>
          <w:rFonts w:hint="eastAsia" w:ascii="仿宋" w:hAnsi="仿宋" w:eastAsia="仿宋" w:cs="仿宋"/>
          <w:color w:val="auto"/>
          <w:sz w:val="21"/>
          <w:szCs w:val="21"/>
          <w:highlight w:val="none"/>
          <w:u w:val="single"/>
        </w:rPr>
        <w:t>由承包人申报实施方案及相应预算，经发包人审查确认后实施。</w:t>
      </w:r>
    </w:p>
    <w:p w14:paraId="73FF856F">
      <w:pPr>
        <w:pageBreakBefore w:val="0"/>
        <w:shd w:val="clear"/>
        <w:bidi w:val="0"/>
        <w:adjustRightInd w:val="0"/>
        <w:snapToGrid w:val="0"/>
        <w:spacing w:beforeAutospacing="0" w:afterAutospacing="0" w:line="568" w:lineRule="exact"/>
        <w:ind w:firstLine="422" w:firstLineChars="200"/>
        <w:jc w:val="left"/>
        <w:rPr>
          <w:rFonts w:hint="eastAsia" w:ascii="仿宋" w:hAnsi="仿宋" w:eastAsia="仿宋" w:cs="仿宋"/>
          <w:b/>
          <w:color w:val="auto"/>
          <w:sz w:val="21"/>
          <w:szCs w:val="21"/>
          <w:highlight w:val="none"/>
        </w:rPr>
      </w:pPr>
      <w:bookmarkStart w:id="61" w:name="_Toc37169026"/>
      <w:r>
        <w:rPr>
          <w:rFonts w:hint="eastAsia" w:ascii="仿宋" w:hAnsi="仿宋" w:eastAsia="仿宋" w:cs="仿宋"/>
          <w:b/>
          <w:bCs/>
          <w:color w:val="auto"/>
          <w:sz w:val="21"/>
          <w:szCs w:val="21"/>
          <w:highlight w:val="none"/>
        </w:rPr>
        <w:t>11.价格调整</w:t>
      </w:r>
      <w:bookmarkEnd w:id="61"/>
    </w:p>
    <w:p w14:paraId="5AE63B41">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11.1 关于市场价格波动引起的调整</w:t>
      </w:r>
    </w:p>
    <w:p w14:paraId="038B6064">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u w:val="single"/>
          <w:lang w:eastAsia="zh-CN"/>
        </w:rPr>
      </w:pPr>
      <w:r>
        <w:rPr>
          <w:rFonts w:hint="eastAsia" w:ascii="仿宋" w:hAnsi="仿宋" w:eastAsia="仿宋" w:cs="仿宋"/>
          <w:color w:val="auto"/>
          <w:sz w:val="21"/>
          <w:szCs w:val="21"/>
          <w:highlight w:val="none"/>
          <w:u w:val="none"/>
          <w:lang w:eastAsia="zh-CN"/>
        </w:rPr>
        <w:t>（1）市场价格波动是否调整合同价格的约定：</w:t>
      </w:r>
      <w:r>
        <w:rPr>
          <w:rFonts w:hint="eastAsia" w:ascii="仿宋" w:hAnsi="仿宋" w:eastAsia="仿宋" w:cs="仿宋"/>
          <w:color w:val="auto"/>
          <w:sz w:val="21"/>
          <w:szCs w:val="21"/>
          <w:highlight w:val="none"/>
          <w:u w:val="single"/>
          <w:lang w:eastAsia="zh-CN"/>
        </w:rPr>
        <w:t>涉及钢材、水泥、砂石、混凝土等主材价格，以经审定的施工图预算中采用的材料价格为基期价，正负5%以内风险包干，不予调整，超出正负5%的部分按湖南省住房和城乡建设厅颁发的湘建价[2022]146号《湖南省建设工程计价依据动态调整汇编(2022年度第一期)》的通知、湘建科函〔2025〕150号关于执行《建设工程工程量清单计价标准》及配套工程量计算标准的通知、湘建科函〔2025〕151号关于发布2025《湖南省建设工程消耗量标准》的通知等相关规定调整。</w:t>
      </w:r>
    </w:p>
    <w:p w14:paraId="56FF3571">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（2）政策引起的价格调整：</w:t>
      </w:r>
      <w:r>
        <w:rPr>
          <w:rFonts w:hint="eastAsia" w:ascii="仿宋" w:hAnsi="仿宋" w:eastAsia="仿宋" w:cs="仿宋"/>
          <w:color w:val="auto"/>
          <w:sz w:val="21"/>
          <w:szCs w:val="21"/>
          <w:highlight w:val="none"/>
          <w:u w:val="single"/>
          <w:lang w:eastAsia="zh-CN"/>
        </w:rPr>
        <w:t>涉及人工、税费等有政策性指导的清单价格，施工期若遇政策性调整，按</w:t>
      </w:r>
      <w:r>
        <w:rPr>
          <w:rFonts w:hint="eastAsia" w:ascii="仿宋" w:hAnsi="仿宋" w:eastAsia="仿宋" w:cs="仿宋"/>
          <w:color w:val="auto"/>
          <w:sz w:val="21"/>
          <w:szCs w:val="21"/>
          <w:highlight w:val="none"/>
          <w:u w:val="single"/>
          <w:lang w:val="en-US" w:eastAsia="zh-CN"/>
        </w:rPr>
        <w:t>新</w:t>
      </w:r>
      <w:r>
        <w:rPr>
          <w:rFonts w:hint="eastAsia" w:ascii="仿宋" w:hAnsi="仿宋" w:eastAsia="仿宋" w:cs="仿宋"/>
          <w:color w:val="auto"/>
          <w:sz w:val="21"/>
          <w:szCs w:val="21"/>
          <w:highlight w:val="none"/>
          <w:u w:val="single"/>
          <w:lang w:eastAsia="zh-CN"/>
        </w:rPr>
        <w:t>政策执行。</w:t>
      </w:r>
    </w:p>
    <w:p w14:paraId="2B5BACDB">
      <w:pPr>
        <w:pageBreakBefore w:val="0"/>
        <w:shd w:val="clear"/>
        <w:bidi w:val="0"/>
        <w:adjustRightInd w:val="0"/>
        <w:snapToGrid w:val="0"/>
        <w:spacing w:beforeAutospacing="0" w:afterAutospacing="0" w:line="568" w:lineRule="exact"/>
        <w:ind w:firstLine="422" w:firstLineChars="200"/>
        <w:jc w:val="left"/>
        <w:rPr>
          <w:rFonts w:hint="eastAsia" w:ascii="仿宋" w:hAnsi="仿宋" w:eastAsia="仿宋" w:cs="仿宋"/>
          <w:b/>
          <w:color w:val="auto"/>
          <w:sz w:val="21"/>
          <w:szCs w:val="21"/>
          <w:highlight w:val="none"/>
        </w:rPr>
      </w:pPr>
      <w:bookmarkStart w:id="62" w:name="_Toc37169027"/>
      <w:r>
        <w:rPr>
          <w:rFonts w:hint="eastAsia" w:ascii="仿宋" w:hAnsi="仿宋" w:eastAsia="仿宋" w:cs="仿宋"/>
          <w:b/>
          <w:color w:val="auto"/>
          <w:sz w:val="21"/>
          <w:szCs w:val="21"/>
          <w:highlight w:val="none"/>
        </w:rPr>
        <w:t>12</w:t>
      </w:r>
      <w:r>
        <w:rPr>
          <w:rFonts w:hint="eastAsia" w:ascii="仿宋" w:hAnsi="仿宋" w:eastAsia="仿宋" w:cs="仿宋"/>
          <w:b/>
          <w:color w:val="auto"/>
          <w:sz w:val="21"/>
          <w:szCs w:val="21"/>
          <w:highlight w:val="none"/>
          <w:lang w:val="en-US" w:eastAsia="zh-CN"/>
        </w:rPr>
        <w:t>.</w:t>
      </w:r>
      <w:r>
        <w:rPr>
          <w:rFonts w:hint="eastAsia" w:ascii="仿宋" w:hAnsi="仿宋" w:eastAsia="仿宋" w:cs="仿宋"/>
          <w:b/>
          <w:color w:val="auto"/>
          <w:sz w:val="21"/>
          <w:szCs w:val="21"/>
          <w:highlight w:val="none"/>
        </w:rPr>
        <w:t>合同价格、计量与支付</w:t>
      </w:r>
      <w:bookmarkEnd w:id="62"/>
    </w:p>
    <w:p w14:paraId="67BAE7AA">
      <w:pPr>
        <w:pageBreakBefore w:val="0"/>
        <w:shd w:val="clear"/>
        <w:bidi w:val="0"/>
        <w:adjustRightInd w:val="0"/>
        <w:snapToGrid w:val="0"/>
        <w:spacing w:beforeAutospacing="0" w:afterAutospacing="0" w:line="568" w:lineRule="exact"/>
        <w:ind w:firstLine="422" w:firstLineChars="200"/>
        <w:rPr>
          <w:rFonts w:hint="eastAsia" w:ascii="仿宋" w:hAnsi="仿宋" w:eastAsia="仿宋" w:cs="仿宋"/>
          <w:b/>
          <w:bCs/>
          <w:color w:val="auto"/>
          <w:sz w:val="21"/>
          <w:szCs w:val="21"/>
          <w:highlight w:val="none"/>
        </w:rPr>
      </w:pPr>
      <w:bookmarkStart w:id="63" w:name="_Toc267251461"/>
      <w:bookmarkStart w:id="64" w:name="_Toc292559916"/>
      <w:bookmarkStart w:id="65" w:name="_Toc292559411"/>
      <w:bookmarkStart w:id="66" w:name="_Toc296503206"/>
      <w:bookmarkStart w:id="67" w:name="_Toc296944545"/>
      <w:bookmarkStart w:id="68" w:name="_Toc296347205"/>
      <w:bookmarkStart w:id="69" w:name="_Toc296346707"/>
      <w:bookmarkStart w:id="70" w:name="_Toc296891246"/>
      <w:bookmarkStart w:id="71" w:name="_Toc296891034"/>
      <w:bookmarkStart w:id="72" w:name="_Toc297120506"/>
      <w:bookmarkStart w:id="73" w:name="_Toc297048392"/>
      <w:bookmarkStart w:id="74" w:name="_Toc18950_WPSOffice_Level3"/>
      <w:bookmarkStart w:id="75" w:name="_Toc312678041"/>
      <w:bookmarkStart w:id="76" w:name="_Toc300935003"/>
      <w:bookmarkStart w:id="77" w:name="_Toc297123553"/>
      <w:bookmarkStart w:id="78" w:name="_Toc304295580"/>
      <w:bookmarkStart w:id="79" w:name="_Toc297216212"/>
      <w:bookmarkStart w:id="80" w:name="_Toc303539160"/>
      <w:r>
        <w:rPr>
          <w:rFonts w:hint="eastAsia" w:ascii="仿宋" w:hAnsi="仿宋" w:eastAsia="仿宋" w:cs="仿宋"/>
          <w:b/>
          <w:bCs/>
          <w:color w:val="auto"/>
          <w:sz w:val="21"/>
          <w:szCs w:val="21"/>
          <w:highlight w:val="none"/>
        </w:rPr>
        <w:t>12.1 合</w:t>
      </w:r>
      <w:bookmarkEnd w:id="63"/>
      <w:bookmarkEnd w:id="64"/>
      <w:bookmarkEnd w:id="65"/>
      <w:r>
        <w:rPr>
          <w:rFonts w:hint="eastAsia" w:ascii="仿宋" w:hAnsi="仿宋" w:eastAsia="仿宋" w:cs="仿宋"/>
          <w:b/>
          <w:bCs/>
          <w:color w:val="auto"/>
          <w:sz w:val="21"/>
          <w:szCs w:val="21"/>
          <w:highlight w:val="none"/>
        </w:rPr>
        <w:t>同价</w:t>
      </w:r>
      <w:bookmarkEnd w:id="66"/>
      <w:bookmarkEnd w:id="67"/>
      <w:bookmarkEnd w:id="68"/>
      <w:bookmarkEnd w:id="69"/>
      <w:bookmarkEnd w:id="70"/>
      <w:bookmarkEnd w:id="71"/>
      <w:bookmarkEnd w:id="72"/>
      <w:bookmarkEnd w:id="73"/>
      <w:r>
        <w:rPr>
          <w:rFonts w:hint="eastAsia" w:ascii="仿宋" w:hAnsi="仿宋" w:eastAsia="仿宋" w:cs="仿宋"/>
          <w:b/>
          <w:bCs/>
          <w:color w:val="auto"/>
          <w:sz w:val="21"/>
          <w:szCs w:val="21"/>
          <w:highlight w:val="none"/>
        </w:rPr>
        <w:t>格形式</w:t>
      </w:r>
      <w:bookmarkEnd w:id="74"/>
    </w:p>
    <w:bookmarkEnd w:id="75"/>
    <w:bookmarkEnd w:id="76"/>
    <w:bookmarkEnd w:id="77"/>
    <w:bookmarkEnd w:id="78"/>
    <w:bookmarkEnd w:id="79"/>
    <w:bookmarkEnd w:id="80"/>
    <w:p w14:paraId="6C008CEB">
      <w:pPr>
        <w:pStyle w:val="2"/>
        <w:pageBreakBefore w:val="0"/>
        <w:shd w:val="clear"/>
        <w:bidi w:val="0"/>
        <w:adjustRightInd w:val="0"/>
        <w:snapToGrid w:val="0"/>
        <w:spacing w:beforeAutospacing="0" w:afterAutospacing="0" w:line="568" w:lineRule="exact"/>
        <w:ind w:firstLine="600"/>
        <w:rPr>
          <w:rFonts w:hint="eastAsia" w:ascii="仿宋" w:hAnsi="仿宋" w:eastAsia="仿宋" w:cs="仿宋"/>
          <w:color w:val="auto"/>
          <w:kern w:val="0"/>
          <w:sz w:val="21"/>
          <w:szCs w:val="21"/>
          <w:highlight w:val="none"/>
          <w:u w:val="none"/>
          <w:lang w:eastAsia="zh-CN"/>
        </w:rPr>
      </w:pPr>
      <w:r>
        <w:rPr>
          <w:rFonts w:hint="eastAsia" w:ascii="仿宋" w:hAnsi="仿宋" w:eastAsia="仿宋" w:cs="仿宋"/>
          <w:color w:val="auto"/>
          <w:kern w:val="0"/>
          <w:sz w:val="21"/>
          <w:szCs w:val="21"/>
          <w:highlight w:val="none"/>
          <w:u w:val="none"/>
          <w:lang w:eastAsia="zh-CN"/>
        </w:rPr>
        <w:t>1.固定单价合同。</w:t>
      </w:r>
      <w:r>
        <w:rPr>
          <w:rFonts w:hint="eastAsia" w:ascii="仿宋" w:hAnsi="仿宋" w:eastAsia="仿宋" w:cs="仿宋"/>
          <w:color w:val="auto"/>
          <w:kern w:val="0"/>
          <w:sz w:val="21"/>
          <w:szCs w:val="21"/>
          <w:highlight w:val="none"/>
          <w:u w:val="single"/>
          <w:lang w:eastAsia="zh-CN"/>
        </w:rPr>
        <w:t>本项目采用固定综合单价按实计量合同形式，在合同实施期间对中标综合单价不进行调整，工程量清单中的综合单价和合价包括按工程量清单计价规则所含内容的所有费用。</w:t>
      </w:r>
    </w:p>
    <w:p w14:paraId="16D6E736">
      <w:pPr>
        <w:pStyle w:val="2"/>
        <w:pageBreakBefore w:val="0"/>
        <w:shd w:val="clear"/>
        <w:bidi w:val="0"/>
        <w:adjustRightInd w:val="0"/>
        <w:snapToGrid w:val="0"/>
        <w:spacing w:beforeAutospacing="0" w:afterAutospacing="0" w:line="568" w:lineRule="exact"/>
        <w:ind w:firstLine="600"/>
        <w:rPr>
          <w:rFonts w:hint="eastAsia" w:ascii="仿宋" w:hAnsi="仿宋" w:eastAsia="仿宋" w:cs="仿宋"/>
          <w:color w:val="auto"/>
          <w:kern w:val="0"/>
          <w:sz w:val="21"/>
          <w:szCs w:val="21"/>
          <w:highlight w:val="none"/>
          <w:u w:val="single"/>
          <w:lang w:eastAsia="zh-CN"/>
        </w:rPr>
      </w:pPr>
      <w:r>
        <w:rPr>
          <w:rFonts w:hint="eastAsia" w:ascii="仿宋" w:hAnsi="仿宋" w:eastAsia="仿宋" w:cs="仿宋"/>
          <w:color w:val="auto"/>
          <w:kern w:val="0"/>
          <w:sz w:val="21"/>
          <w:szCs w:val="21"/>
          <w:highlight w:val="none"/>
          <w:u w:val="none"/>
          <w:lang w:eastAsia="zh-CN"/>
        </w:rPr>
        <w:t>综合单价包含的风险范围：</w:t>
      </w:r>
      <w:r>
        <w:rPr>
          <w:rFonts w:hint="eastAsia" w:ascii="仿宋" w:hAnsi="仿宋" w:eastAsia="仿宋" w:cs="仿宋"/>
          <w:color w:val="auto"/>
          <w:kern w:val="0"/>
          <w:sz w:val="21"/>
          <w:szCs w:val="21"/>
          <w:highlight w:val="none"/>
          <w:u w:val="single"/>
          <w:lang w:val="en-US" w:eastAsia="zh-CN"/>
        </w:rPr>
        <w:t>/</w:t>
      </w:r>
      <w:r>
        <w:rPr>
          <w:rFonts w:hint="eastAsia" w:ascii="仿宋" w:hAnsi="仿宋" w:eastAsia="仿宋" w:cs="仿宋"/>
          <w:color w:val="auto"/>
          <w:kern w:val="0"/>
          <w:sz w:val="21"/>
          <w:szCs w:val="21"/>
          <w:highlight w:val="none"/>
          <w:u w:val="single"/>
          <w:lang w:eastAsia="zh-CN"/>
        </w:rPr>
        <w:t>。</w:t>
      </w:r>
    </w:p>
    <w:p w14:paraId="3FB8AA44">
      <w:pPr>
        <w:pageBreakBefore w:val="0"/>
        <w:shd w:val="clear"/>
        <w:autoSpaceDE w:val="0"/>
        <w:autoSpaceDN w:val="0"/>
        <w:bidi w:val="0"/>
        <w:adjustRightInd w:val="0"/>
        <w:snapToGrid w:val="0"/>
        <w:spacing w:beforeAutospacing="0" w:afterAutospacing="0" w:line="568" w:lineRule="exact"/>
        <w:ind w:firstLine="422" w:firstLineChars="200"/>
        <w:rPr>
          <w:rFonts w:hint="eastAsia" w:ascii="仿宋" w:hAnsi="仿宋" w:eastAsia="仿宋" w:cs="仿宋"/>
          <w:b/>
          <w:bCs/>
          <w:color w:val="auto"/>
          <w:w w:val="100"/>
          <w:sz w:val="21"/>
          <w:szCs w:val="21"/>
          <w:highlight w:val="none"/>
        </w:rPr>
      </w:pPr>
      <w:r>
        <w:rPr>
          <w:rFonts w:hint="eastAsia" w:ascii="仿宋" w:hAnsi="仿宋" w:eastAsia="仿宋" w:cs="仿宋"/>
          <w:b/>
          <w:bCs/>
          <w:color w:val="auto"/>
          <w:w w:val="100"/>
          <w:sz w:val="21"/>
          <w:szCs w:val="21"/>
          <w:highlight w:val="none"/>
        </w:rPr>
        <w:t>12.2</w:t>
      </w:r>
      <w:r>
        <w:rPr>
          <w:rFonts w:hint="eastAsia" w:ascii="仿宋" w:hAnsi="仿宋" w:eastAsia="仿宋" w:cs="仿宋"/>
          <w:b/>
          <w:bCs/>
          <w:color w:val="auto"/>
          <w:w w:val="100"/>
          <w:sz w:val="21"/>
          <w:szCs w:val="21"/>
          <w:highlight w:val="none"/>
          <w:lang w:val="en-US" w:eastAsia="zh-CN"/>
        </w:rPr>
        <w:t xml:space="preserve"> </w:t>
      </w:r>
      <w:r>
        <w:rPr>
          <w:rFonts w:hint="eastAsia" w:ascii="仿宋" w:hAnsi="仿宋" w:eastAsia="仿宋" w:cs="仿宋"/>
          <w:b/>
          <w:bCs/>
          <w:color w:val="auto"/>
          <w:w w:val="100"/>
          <w:sz w:val="21"/>
          <w:szCs w:val="21"/>
          <w:highlight w:val="none"/>
        </w:rPr>
        <w:t>预付款</w:t>
      </w:r>
    </w:p>
    <w:p w14:paraId="3F419524">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val="en-US" w:eastAsia="zh-CN"/>
        </w:rPr>
        <w:t>不超过</w:t>
      </w:r>
      <w:r>
        <w:rPr>
          <w:rFonts w:hint="eastAsia" w:ascii="仿宋" w:hAnsi="仿宋" w:eastAsia="仿宋" w:cs="仿宋"/>
          <w:color w:val="auto"/>
          <w:kern w:val="0"/>
          <w:sz w:val="21"/>
          <w:szCs w:val="21"/>
          <w:highlight w:val="none"/>
        </w:rPr>
        <w:t>合同</w:t>
      </w:r>
      <w:r>
        <w:rPr>
          <w:rFonts w:hint="eastAsia" w:ascii="仿宋" w:hAnsi="仿宋" w:eastAsia="仿宋" w:cs="仿宋"/>
          <w:color w:val="auto"/>
          <w:kern w:val="0"/>
          <w:sz w:val="21"/>
          <w:szCs w:val="21"/>
          <w:highlight w:val="none"/>
          <w:lang w:val="en-US" w:eastAsia="zh-CN"/>
        </w:rPr>
        <w:t>金额的30%</w:t>
      </w:r>
      <w:r>
        <w:rPr>
          <w:rFonts w:hint="eastAsia" w:ascii="仿宋" w:hAnsi="仿宋" w:eastAsia="仿宋" w:cs="仿宋"/>
          <w:color w:val="auto"/>
          <w:kern w:val="0"/>
          <w:sz w:val="21"/>
          <w:szCs w:val="21"/>
          <w:highlight w:val="none"/>
        </w:rPr>
        <w:t>。</w:t>
      </w:r>
    </w:p>
    <w:p w14:paraId="07A6F291">
      <w:pPr>
        <w:pageBreakBefore w:val="0"/>
        <w:shd w:val="clear"/>
        <w:bidi w:val="0"/>
        <w:adjustRightInd w:val="0"/>
        <w:snapToGrid w:val="0"/>
        <w:spacing w:beforeAutospacing="0" w:afterAutospacing="0" w:line="568" w:lineRule="exact"/>
        <w:ind w:firstLine="422" w:firstLineChars="200"/>
        <w:jc w:val="left"/>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12.3</w:t>
      </w:r>
      <w:r>
        <w:rPr>
          <w:rFonts w:hint="eastAsia" w:ascii="仿宋" w:hAnsi="仿宋" w:eastAsia="仿宋" w:cs="仿宋"/>
          <w:b/>
          <w:bCs/>
          <w:color w:val="auto"/>
          <w:sz w:val="21"/>
          <w:szCs w:val="21"/>
          <w:highlight w:val="none"/>
          <w:lang w:val="en-US" w:eastAsia="zh-CN"/>
        </w:rPr>
        <w:t xml:space="preserve"> </w:t>
      </w:r>
      <w:r>
        <w:rPr>
          <w:rFonts w:hint="eastAsia" w:ascii="仿宋" w:hAnsi="仿宋" w:eastAsia="仿宋" w:cs="仿宋"/>
          <w:b/>
          <w:bCs/>
          <w:color w:val="auto"/>
          <w:sz w:val="21"/>
          <w:szCs w:val="21"/>
          <w:highlight w:val="none"/>
        </w:rPr>
        <w:t>计量</w:t>
      </w:r>
    </w:p>
    <w:p w14:paraId="70155151">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12.3.1计量原则</w:t>
      </w:r>
    </w:p>
    <w:p w14:paraId="71A094E2">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工程量计算规则：</w:t>
      </w:r>
      <w:r>
        <w:rPr>
          <w:rFonts w:hint="eastAsia" w:ascii="仿宋" w:hAnsi="仿宋" w:eastAsia="仿宋" w:cs="仿宋"/>
          <w:color w:val="auto"/>
          <w:sz w:val="21"/>
          <w:szCs w:val="21"/>
          <w:highlight w:val="none"/>
          <w:u w:val="single"/>
          <w:lang w:eastAsia="zh-CN"/>
        </w:rPr>
        <w:t>按合同通用条款执行</w:t>
      </w:r>
      <w:r>
        <w:rPr>
          <w:rFonts w:hint="eastAsia" w:ascii="仿宋" w:hAnsi="仿宋" w:eastAsia="仿宋" w:cs="仿宋"/>
          <w:color w:val="auto"/>
          <w:sz w:val="21"/>
          <w:szCs w:val="21"/>
          <w:highlight w:val="none"/>
          <w:u w:val="single"/>
        </w:rPr>
        <w:t>。</w:t>
      </w:r>
    </w:p>
    <w:p w14:paraId="7C9A91A3">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12.3.2计量周期</w:t>
      </w:r>
    </w:p>
    <w:p w14:paraId="5EB29E9B">
      <w:pPr>
        <w:pStyle w:val="2"/>
        <w:pageBreakBefore w:val="0"/>
        <w:shd w:val="clear"/>
        <w:bidi w:val="0"/>
        <w:adjustRightInd w:val="0"/>
        <w:snapToGrid w:val="0"/>
        <w:spacing w:beforeAutospacing="0" w:afterAutospacing="0" w:line="568" w:lineRule="exac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关于计量周期的约定：</w:t>
      </w:r>
      <w:r>
        <w:rPr>
          <w:rFonts w:hint="eastAsia" w:ascii="仿宋" w:hAnsi="仿宋" w:eastAsia="仿宋" w:cs="仿宋"/>
          <w:color w:val="auto"/>
          <w:sz w:val="21"/>
          <w:szCs w:val="21"/>
          <w:highlight w:val="none"/>
          <w:u w:val="single"/>
          <w:lang w:eastAsia="zh-CN"/>
        </w:rPr>
        <w:t>按合同通用条款执行。</w:t>
      </w:r>
    </w:p>
    <w:p w14:paraId="713F032A">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12.3.3单价合同的计量</w:t>
      </w:r>
    </w:p>
    <w:p w14:paraId="04CDC9AF">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关于单价合同计量的约定：</w:t>
      </w:r>
      <w:r>
        <w:rPr>
          <w:rFonts w:hint="eastAsia" w:ascii="仿宋" w:hAnsi="仿宋" w:eastAsia="仿宋" w:cs="仿宋"/>
          <w:color w:val="auto"/>
          <w:sz w:val="21"/>
          <w:szCs w:val="21"/>
          <w:highlight w:val="none"/>
          <w:u w:val="single"/>
          <w:lang w:eastAsia="zh-CN"/>
        </w:rPr>
        <w:t>按合同通用条款执行</w:t>
      </w:r>
      <w:r>
        <w:rPr>
          <w:rFonts w:hint="eastAsia" w:ascii="仿宋" w:hAnsi="仿宋" w:eastAsia="仿宋" w:cs="仿宋"/>
          <w:color w:val="auto"/>
          <w:sz w:val="21"/>
          <w:szCs w:val="21"/>
          <w:highlight w:val="none"/>
          <w:u w:val="single"/>
        </w:rPr>
        <w:t>。</w:t>
      </w:r>
    </w:p>
    <w:p w14:paraId="2647A51B">
      <w:pPr>
        <w:pageBreakBefore w:val="0"/>
        <w:shd w:val="clear"/>
        <w:bidi w:val="0"/>
        <w:adjustRightInd w:val="0"/>
        <w:snapToGrid w:val="0"/>
        <w:spacing w:beforeAutospacing="0" w:afterAutospacing="0" w:line="568" w:lineRule="exact"/>
        <w:ind w:firstLine="422" w:firstLineChars="200"/>
        <w:jc w:val="left"/>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12.4工程进度款支付</w:t>
      </w:r>
    </w:p>
    <w:p w14:paraId="0A671D4F">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12.4.1付款周期</w:t>
      </w:r>
    </w:p>
    <w:p w14:paraId="63A57397">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val="en-US" w:eastAsia="zh-CN"/>
        </w:rPr>
        <w:t>工程进度款，支付金额不超过已完工程造价的80%，</w:t>
      </w:r>
      <w:r>
        <w:rPr>
          <w:rFonts w:hint="eastAsia" w:ascii="仿宋" w:hAnsi="仿宋" w:eastAsia="仿宋" w:cs="仿宋"/>
          <w:color w:val="auto"/>
          <w:sz w:val="21"/>
          <w:szCs w:val="21"/>
          <w:highlight w:val="none"/>
        </w:rPr>
        <w:t>工程竣工验收合格</w:t>
      </w:r>
      <w:r>
        <w:rPr>
          <w:rFonts w:hint="eastAsia" w:ascii="仿宋" w:hAnsi="仿宋" w:eastAsia="仿宋" w:cs="仿宋"/>
          <w:color w:val="auto"/>
          <w:sz w:val="21"/>
          <w:szCs w:val="21"/>
          <w:highlight w:val="none"/>
          <w:lang w:eastAsia="zh-CN"/>
        </w:rPr>
        <w:t>后</w:t>
      </w:r>
      <w:r>
        <w:rPr>
          <w:rFonts w:hint="eastAsia" w:ascii="仿宋" w:hAnsi="仿宋" w:eastAsia="仿宋" w:cs="仿宋"/>
          <w:color w:val="auto"/>
          <w:sz w:val="21"/>
          <w:szCs w:val="21"/>
          <w:highlight w:val="none"/>
        </w:rPr>
        <w:t>，支付</w:t>
      </w:r>
      <w:r>
        <w:rPr>
          <w:rFonts w:hint="eastAsia" w:ascii="仿宋" w:hAnsi="仿宋" w:eastAsia="仿宋" w:cs="仿宋"/>
          <w:color w:val="auto"/>
          <w:sz w:val="21"/>
          <w:szCs w:val="21"/>
          <w:highlight w:val="none"/>
          <w:lang w:val="en-US" w:eastAsia="zh-CN"/>
        </w:rPr>
        <w:t>至</w:t>
      </w:r>
      <w:r>
        <w:rPr>
          <w:rFonts w:hint="eastAsia" w:ascii="仿宋" w:hAnsi="仿宋" w:eastAsia="仿宋" w:cs="仿宋"/>
          <w:color w:val="auto"/>
          <w:sz w:val="21"/>
          <w:szCs w:val="21"/>
          <w:highlight w:val="none"/>
        </w:rPr>
        <w:t>合同金额的</w:t>
      </w:r>
      <w:r>
        <w:rPr>
          <w:rFonts w:hint="eastAsia" w:ascii="仿宋" w:hAnsi="仿宋" w:eastAsia="仿宋" w:cs="仿宋"/>
          <w:color w:val="auto"/>
          <w:sz w:val="21"/>
          <w:szCs w:val="21"/>
          <w:highlight w:val="none"/>
          <w:lang w:val="en-US" w:eastAsia="zh-CN"/>
        </w:rPr>
        <w:t>8</w:t>
      </w:r>
      <w:r>
        <w:rPr>
          <w:rFonts w:hint="eastAsia" w:ascii="仿宋" w:hAnsi="仿宋" w:eastAsia="仿宋" w:cs="仿宋"/>
          <w:color w:val="auto"/>
          <w:sz w:val="21"/>
          <w:szCs w:val="21"/>
          <w:highlight w:val="none"/>
        </w:rPr>
        <w:t>0%。</w:t>
      </w:r>
    </w:p>
    <w:p w14:paraId="27943FB0">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sz w:val="21"/>
          <w:szCs w:val="21"/>
          <w:highlight w:val="none"/>
        </w:rPr>
        <w:t>剩余工程款待办理完成结算审</w:t>
      </w:r>
      <w:r>
        <w:rPr>
          <w:rFonts w:hint="eastAsia" w:ascii="仿宋" w:hAnsi="仿宋" w:eastAsia="仿宋" w:cs="仿宋"/>
          <w:color w:val="auto"/>
          <w:sz w:val="21"/>
          <w:szCs w:val="21"/>
          <w:highlight w:val="none"/>
          <w:lang w:val="en-US" w:eastAsia="zh-CN"/>
        </w:rPr>
        <w:t>核</w:t>
      </w:r>
      <w:r>
        <w:rPr>
          <w:rFonts w:hint="eastAsia" w:ascii="仿宋" w:hAnsi="仿宋" w:eastAsia="仿宋" w:cs="仿宋"/>
          <w:color w:val="auto"/>
          <w:sz w:val="21"/>
          <w:szCs w:val="21"/>
          <w:highlight w:val="none"/>
        </w:rPr>
        <w:t>手续后扣除乙方应承担的费用后</w:t>
      </w:r>
      <w:r>
        <w:rPr>
          <w:rFonts w:hint="eastAsia" w:ascii="仿宋" w:hAnsi="仿宋" w:eastAsia="仿宋" w:cs="仿宋"/>
          <w:color w:val="auto"/>
          <w:sz w:val="21"/>
          <w:szCs w:val="21"/>
          <w:highlight w:val="none"/>
          <w:lang w:eastAsia="zh-CN"/>
        </w:rPr>
        <w:t>予以支付。</w:t>
      </w:r>
      <w:r>
        <w:rPr>
          <w:rFonts w:hint="eastAsia" w:ascii="仿宋" w:hAnsi="仿宋" w:eastAsia="仿宋" w:cs="仿宋"/>
          <w:color w:val="auto"/>
          <w:sz w:val="21"/>
          <w:szCs w:val="21"/>
          <w:highlight w:val="none"/>
        </w:rPr>
        <w:t>如未满质保期，则留3%作为质保金，在质保期满后扣除承包人在质保期应承担的费用后无息支付。本工程最终工程造价以长沙市芙蓉区</w:t>
      </w:r>
      <w:r>
        <w:rPr>
          <w:rFonts w:hint="eastAsia" w:ascii="仿宋" w:hAnsi="仿宋" w:eastAsia="仿宋" w:cs="仿宋"/>
          <w:color w:val="auto"/>
          <w:sz w:val="21"/>
          <w:szCs w:val="21"/>
          <w:highlight w:val="none"/>
          <w:lang w:eastAsia="zh-CN"/>
        </w:rPr>
        <w:t>相关部门</w:t>
      </w:r>
      <w:r>
        <w:rPr>
          <w:rFonts w:hint="eastAsia" w:ascii="仿宋" w:hAnsi="仿宋" w:eastAsia="仿宋" w:cs="仿宋"/>
          <w:color w:val="auto"/>
          <w:sz w:val="21"/>
          <w:szCs w:val="21"/>
          <w:highlight w:val="none"/>
          <w:lang w:val="en-US" w:eastAsia="zh-CN"/>
        </w:rPr>
        <w:t>或第三方造价咨询机构</w:t>
      </w:r>
      <w:r>
        <w:rPr>
          <w:rFonts w:hint="eastAsia" w:ascii="仿宋" w:hAnsi="仿宋" w:eastAsia="仿宋" w:cs="仿宋"/>
          <w:color w:val="auto"/>
          <w:sz w:val="21"/>
          <w:szCs w:val="21"/>
          <w:highlight w:val="none"/>
        </w:rPr>
        <w:t>审定的金额为准。</w:t>
      </w:r>
    </w:p>
    <w:p w14:paraId="2B582675">
      <w:pPr>
        <w:pageBreakBefore w:val="0"/>
        <w:shd w:val="clear"/>
        <w:bidi w:val="0"/>
        <w:adjustRightInd w:val="0"/>
        <w:snapToGrid w:val="0"/>
        <w:spacing w:beforeAutospacing="0" w:afterAutospacing="0" w:line="568" w:lineRule="exact"/>
        <w:ind w:firstLine="420" w:firstLineChars="200"/>
        <w:jc w:val="left"/>
        <w:rPr>
          <w:rFonts w:hint="eastAsia"/>
          <w:color w:val="auto"/>
          <w:sz w:val="21"/>
          <w:szCs w:val="21"/>
          <w:highlight w:val="none"/>
          <w:lang w:eastAsia="zh-CN"/>
        </w:rPr>
      </w:pPr>
      <w:r>
        <w:rPr>
          <w:rFonts w:hint="eastAsia" w:ascii="仿宋" w:hAnsi="仿宋" w:eastAsia="仿宋" w:cs="仿宋"/>
          <w:color w:val="auto"/>
          <w:sz w:val="21"/>
          <w:szCs w:val="21"/>
          <w:highlight w:val="none"/>
          <w:lang w:val="en-US" w:eastAsia="zh-CN"/>
        </w:rPr>
        <w:t>（3）甲方每次付款前</w:t>
      </w:r>
      <w:r>
        <w:rPr>
          <w:rFonts w:hint="eastAsia" w:ascii="仿宋" w:hAnsi="仿宋" w:eastAsia="仿宋" w:cs="仿宋"/>
          <w:color w:val="auto"/>
          <w:sz w:val="21"/>
          <w:szCs w:val="21"/>
          <w:highlight w:val="none"/>
        </w:rPr>
        <w:t>，乙方需提供合法有效</w:t>
      </w:r>
      <w:r>
        <w:rPr>
          <w:rFonts w:hint="eastAsia" w:ascii="仿宋" w:hAnsi="仿宋" w:eastAsia="仿宋" w:cs="仿宋"/>
          <w:color w:val="auto"/>
          <w:sz w:val="21"/>
          <w:szCs w:val="21"/>
          <w:highlight w:val="none"/>
          <w:lang w:eastAsia="zh-CN"/>
        </w:rPr>
        <w:t>等额</w:t>
      </w:r>
      <w:r>
        <w:rPr>
          <w:rFonts w:hint="eastAsia" w:ascii="仿宋" w:hAnsi="仿宋" w:eastAsia="仿宋" w:cs="仿宋"/>
          <w:color w:val="auto"/>
          <w:sz w:val="21"/>
          <w:szCs w:val="21"/>
          <w:highlight w:val="none"/>
        </w:rPr>
        <w:t>的</w:t>
      </w:r>
      <w:r>
        <w:rPr>
          <w:rFonts w:hint="eastAsia" w:ascii="仿宋" w:hAnsi="仿宋" w:eastAsia="仿宋" w:cs="仿宋"/>
          <w:color w:val="auto"/>
          <w:sz w:val="21"/>
          <w:szCs w:val="21"/>
          <w:highlight w:val="none"/>
          <w:lang w:eastAsia="zh-CN"/>
        </w:rPr>
        <w:t>增值税专用</w:t>
      </w:r>
      <w:r>
        <w:rPr>
          <w:rFonts w:hint="eastAsia" w:ascii="仿宋" w:hAnsi="仿宋" w:eastAsia="仿宋" w:cs="仿宋"/>
          <w:color w:val="auto"/>
          <w:sz w:val="21"/>
          <w:szCs w:val="21"/>
          <w:highlight w:val="none"/>
        </w:rPr>
        <w:t>发票，并按照甲方的财务管理制度办理款项申请手续，经甲方付款程序全部审核完毕后支付，否则甲方付款相应顺延，且不负延期付款责任。</w:t>
      </w:r>
    </w:p>
    <w:p w14:paraId="348DFF91">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12.4.2进度付款申请单的编制</w:t>
      </w:r>
    </w:p>
    <w:p w14:paraId="67FD96AB">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关于进度付款申请单编制的约定：</w:t>
      </w:r>
      <w:r>
        <w:rPr>
          <w:rFonts w:hint="eastAsia" w:ascii="仿宋" w:hAnsi="仿宋" w:eastAsia="仿宋" w:cs="仿宋"/>
          <w:color w:val="auto"/>
          <w:sz w:val="21"/>
          <w:szCs w:val="21"/>
          <w:highlight w:val="none"/>
          <w:u w:val="single"/>
        </w:rPr>
        <w:t>内容除通用条款规定外，必须同步提供完善的工程技术资料（一式肆份）。</w:t>
      </w:r>
    </w:p>
    <w:p w14:paraId="5E9B066C">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12.4.3进度付款申请单的提交</w:t>
      </w:r>
    </w:p>
    <w:p w14:paraId="7F4AED64">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（1）单价合同进度付款申请单提交的约定：</w:t>
      </w:r>
      <w:r>
        <w:rPr>
          <w:rFonts w:hint="eastAsia" w:ascii="仿宋" w:hAnsi="仿宋" w:eastAsia="仿宋" w:cs="仿宋"/>
          <w:color w:val="auto"/>
          <w:sz w:val="21"/>
          <w:szCs w:val="21"/>
          <w:highlight w:val="none"/>
          <w:u w:val="single"/>
        </w:rPr>
        <w:t>/</w:t>
      </w:r>
      <w:r>
        <w:rPr>
          <w:rFonts w:hint="eastAsia" w:ascii="仿宋" w:hAnsi="仿宋" w:eastAsia="仿宋" w:cs="仿宋"/>
          <w:color w:val="auto"/>
          <w:sz w:val="21"/>
          <w:szCs w:val="21"/>
          <w:highlight w:val="none"/>
        </w:rPr>
        <w:t>。</w:t>
      </w:r>
    </w:p>
    <w:p w14:paraId="3826D621">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（2）总价合同进度付款申请单提交的约定：</w:t>
      </w:r>
      <w:r>
        <w:rPr>
          <w:rFonts w:hint="eastAsia" w:ascii="仿宋" w:hAnsi="仿宋" w:eastAsia="仿宋" w:cs="仿宋"/>
          <w:color w:val="auto"/>
          <w:sz w:val="21"/>
          <w:szCs w:val="21"/>
          <w:highlight w:val="none"/>
          <w:u w:val="single"/>
        </w:rPr>
        <w:t>/。</w:t>
      </w:r>
    </w:p>
    <w:p w14:paraId="0BA9AFAD">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（3）其他价格形式合同进度付款申请单提交的约定：</w:t>
      </w:r>
      <w:r>
        <w:rPr>
          <w:rFonts w:hint="eastAsia" w:ascii="仿宋" w:hAnsi="仿宋" w:eastAsia="仿宋" w:cs="仿宋"/>
          <w:color w:val="auto"/>
          <w:sz w:val="21"/>
          <w:szCs w:val="21"/>
          <w:highlight w:val="none"/>
          <w:u w:val="single"/>
        </w:rPr>
        <w:t>/。</w:t>
      </w:r>
    </w:p>
    <w:p w14:paraId="4BD36A35">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12.4.4进度款审核和支付</w:t>
      </w:r>
    </w:p>
    <w:p w14:paraId="4BF31805">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（1）监理人审查并报送发包人的期限：</w:t>
      </w:r>
      <w:r>
        <w:rPr>
          <w:rFonts w:hint="eastAsia" w:ascii="仿宋" w:hAnsi="仿宋" w:eastAsia="仿宋" w:cs="仿宋"/>
          <w:color w:val="auto"/>
          <w:sz w:val="21"/>
          <w:szCs w:val="21"/>
          <w:highlight w:val="none"/>
          <w:u w:val="single"/>
        </w:rPr>
        <w:t>/。</w:t>
      </w:r>
    </w:p>
    <w:p w14:paraId="32428CFE">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发包人完成审批并签发进度款支付证书的期限：</w:t>
      </w:r>
      <w:r>
        <w:rPr>
          <w:rFonts w:hint="eastAsia" w:ascii="仿宋" w:hAnsi="仿宋" w:eastAsia="仿宋" w:cs="仿宋"/>
          <w:color w:val="auto"/>
          <w:sz w:val="21"/>
          <w:szCs w:val="21"/>
          <w:highlight w:val="none"/>
          <w:u w:val="single"/>
        </w:rPr>
        <w:t>/。</w:t>
      </w:r>
    </w:p>
    <w:p w14:paraId="136D8ED3">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（2）发包人支付进度款的期限：</w:t>
      </w:r>
      <w:r>
        <w:rPr>
          <w:rFonts w:hint="eastAsia" w:ascii="仿宋" w:hAnsi="仿宋" w:eastAsia="仿宋" w:cs="仿宋"/>
          <w:color w:val="auto"/>
          <w:sz w:val="21"/>
          <w:szCs w:val="21"/>
          <w:highlight w:val="none"/>
          <w:u w:val="single"/>
        </w:rPr>
        <w:t>/。</w:t>
      </w:r>
    </w:p>
    <w:p w14:paraId="230D0BAC">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发包人逾期支付进度款的违约金的计算方式：</w:t>
      </w:r>
      <w:r>
        <w:rPr>
          <w:rFonts w:hint="eastAsia" w:ascii="仿宋" w:hAnsi="仿宋" w:eastAsia="仿宋" w:cs="仿宋"/>
          <w:color w:val="auto"/>
          <w:sz w:val="21"/>
          <w:szCs w:val="21"/>
          <w:highlight w:val="none"/>
          <w:u w:val="single"/>
        </w:rPr>
        <w:t>/。</w:t>
      </w:r>
    </w:p>
    <w:p w14:paraId="4D59A7BD">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12.4.6支付分解表的编制 </w:t>
      </w:r>
    </w:p>
    <w:p w14:paraId="396F1FFC">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总价合同支付分解表的编制与审批：</w:t>
      </w:r>
      <w:r>
        <w:rPr>
          <w:rFonts w:hint="eastAsia" w:ascii="仿宋" w:hAnsi="仿宋" w:eastAsia="仿宋" w:cs="仿宋"/>
          <w:color w:val="auto"/>
          <w:sz w:val="21"/>
          <w:szCs w:val="21"/>
          <w:highlight w:val="none"/>
          <w:u w:val="single"/>
        </w:rPr>
        <w:t>/。</w:t>
      </w:r>
      <w:r>
        <w:rPr>
          <w:rFonts w:hint="eastAsia" w:ascii="仿宋" w:hAnsi="仿宋" w:eastAsia="仿宋" w:cs="仿宋"/>
          <w:color w:val="auto"/>
          <w:sz w:val="21"/>
          <w:szCs w:val="21"/>
          <w:highlight w:val="none"/>
        </w:rPr>
        <w:t xml:space="preserve"> </w:t>
      </w:r>
    </w:p>
    <w:p w14:paraId="24B73C8A">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单价合同的总价项目支付分解表的编制与审批：</w:t>
      </w:r>
      <w:r>
        <w:rPr>
          <w:rFonts w:hint="eastAsia" w:ascii="仿宋" w:hAnsi="仿宋" w:eastAsia="仿宋" w:cs="仿宋"/>
          <w:color w:val="auto"/>
          <w:sz w:val="21"/>
          <w:szCs w:val="21"/>
          <w:highlight w:val="none"/>
          <w:u w:val="single"/>
        </w:rPr>
        <w:t>/。</w:t>
      </w:r>
    </w:p>
    <w:p w14:paraId="33473500">
      <w:pPr>
        <w:pageBreakBefore w:val="0"/>
        <w:shd w:val="clear"/>
        <w:bidi w:val="0"/>
        <w:adjustRightInd w:val="0"/>
        <w:snapToGrid w:val="0"/>
        <w:spacing w:beforeAutospacing="0" w:afterAutospacing="0" w:line="568" w:lineRule="exact"/>
        <w:jc w:val="left"/>
        <w:rPr>
          <w:rFonts w:ascii="仿宋" w:hAnsi="仿宋" w:eastAsia="仿宋" w:cs="仿宋"/>
          <w:b/>
          <w:color w:val="auto"/>
          <w:sz w:val="21"/>
          <w:szCs w:val="21"/>
          <w:highlight w:val="none"/>
        </w:rPr>
      </w:pPr>
      <w:bookmarkStart w:id="81" w:name="_Toc37169028"/>
      <w:r>
        <w:rPr>
          <w:rFonts w:ascii="仿宋" w:hAnsi="仿宋" w:eastAsia="仿宋" w:cs="仿宋"/>
          <w:b/>
          <w:bCs/>
          <w:color w:val="auto"/>
          <w:sz w:val="21"/>
          <w:szCs w:val="21"/>
          <w:highlight w:val="none"/>
        </w:rPr>
        <w:t>13</w:t>
      </w:r>
      <w:r>
        <w:rPr>
          <w:rFonts w:hint="eastAsia" w:ascii="仿宋" w:hAnsi="仿宋" w:eastAsia="仿宋" w:cs="仿宋"/>
          <w:b/>
          <w:bCs/>
          <w:color w:val="auto"/>
          <w:sz w:val="21"/>
          <w:szCs w:val="21"/>
          <w:highlight w:val="none"/>
        </w:rPr>
        <w:t>.</w:t>
      </w:r>
      <w:r>
        <w:rPr>
          <w:rFonts w:ascii="仿宋" w:hAnsi="仿宋" w:eastAsia="仿宋" w:cs="仿宋"/>
          <w:b/>
          <w:bCs/>
          <w:color w:val="auto"/>
          <w:sz w:val="21"/>
          <w:szCs w:val="21"/>
          <w:highlight w:val="none"/>
        </w:rPr>
        <w:t>验收和工程试车</w:t>
      </w:r>
      <w:bookmarkEnd w:id="81"/>
    </w:p>
    <w:p w14:paraId="6EE3690F">
      <w:pPr>
        <w:pageBreakBefore w:val="0"/>
        <w:shd w:val="clear"/>
        <w:bidi w:val="0"/>
        <w:adjustRightInd w:val="0"/>
        <w:snapToGrid w:val="0"/>
        <w:spacing w:beforeAutospacing="0" w:afterAutospacing="0" w:line="568" w:lineRule="exact"/>
        <w:ind w:firstLine="422" w:firstLineChars="200"/>
        <w:jc w:val="left"/>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13.1 分部分项工程验收</w:t>
      </w:r>
    </w:p>
    <w:p w14:paraId="6FEC1E2E">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13.1.2 监理人不能按时进行验收时，应提前</w:t>
      </w: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u w:val="single"/>
          <w:lang w:val="en-US" w:eastAsia="zh-CN"/>
        </w:rPr>
        <w:t>24</w:t>
      </w:r>
      <w:r>
        <w:rPr>
          <w:rFonts w:hint="eastAsia" w:ascii="仿宋" w:hAnsi="仿宋" w:eastAsia="仿宋" w:cs="仿宋"/>
          <w:b w:val="0"/>
          <w:bCs w:val="0"/>
          <w:color w:val="auto"/>
          <w:sz w:val="21"/>
          <w:szCs w:val="21"/>
          <w:highlight w:val="none"/>
          <w:u w:val="single"/>
        </w:rPr>
        <w:t xml:space="preserve"> 小时</w:t>
      </w:r>
      <w:r>
        <w:rPr>
          <w:rFonts w:hint="eastAsia" w:ascii="仿宋" w:hAnsi="仿宋" w:eastAsia="仿宋" w:cs="仿宋"/>
          <w:b w:val="0"/>
          <w:bCs w:val="0"/>
          <w:color w:val="auto"/>
          <w:sz w:val="21"/>
          <w:szCs w:val="21"/>
          <w:highlight w:val="none"/>
        </w:rPr>
        <w:t>提交书面延期要求。</w:t>
      </w:r>
    </w:p>
    <w:p w14:paraId="220DF7F0">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关于延期最长不得超过：</w:t>
      </w:r>
      <w:r>
        <w:rPr>
          <w:rFonts w:hint="eastAsia" w:ascii="仿宋" w:hAnsi="仿宋" w:eastAsia="仿宋" w:cs="仿宋"/>
          <w:b w:val="0"/>
          <w:bCs w:val="0"/>
          <w:color w:val="auto"/>
          <w:sz w:val="21"/>
          <w:szCs w:val="21"/>
          <w:highlight w:val="none"/>
          <w:u w:val="single"/>
          <w:lang w:val="en-US" w:eastAsia="zh-CN"/>
        </w:rPr>
        <w:t>48</w:t>
      </w:r>
      <w:r>
        <w:rPr>
          <w:rFonts w:hint="eastAsia" w:ascii="仿宋" w:hAnsi="仿宋" w:eastAsia="仿宋" w:cs="仿宋"/>
          <w:b w:val="0"/>
          <w:bCs w:val="0"/>
          <w:color w:val="auto"/>
          <w:sz w:val="21"/>
          <w:szCs w:val="21"/>
          <w:highlight w:val="none"/>
          <w:u w:val="single"/>
        </w:rPr>
        <w:t>小时。</w:t>
      </w:r>
    </w:p>
    <w:p w14:paraId="2EBF49FF">
      <w:pPr>
        <w:pageBreakBefore w:val="0"/>
        <w:shd w:val="clear"/>
        <w:bidi w:val="0"/>
        <w:adjustRightInd w:val="0"/>
        <w:snapToGrid w:val="0"/>
        <w:spacing w:beforeAutospacing="0" w:afterAutospacing="0" w:line="568" w:lineRule="exact"/>
        <w:ind w:firstLine="422" w:firstLineChars="200"/>
        <w:jc w:val="left"/>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13.2 竣工验收</w:t>
      </w:r>
    </w:p>
    <w:p w14:paraId="3BC1D2A3">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13.2.2 竣工验收程序</w:t>
      </w:r>
    </w:p>
    <w:p w14:paraId="49D78676">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关于竣工验收程序的约定：</w:t>
      </w:r>
      <w:r>
        <w:rPr>
          <w:rFonts w:hint="eastAsia" w:ascii="仿宋" w:hAnsi="仿宋" w:eastAsia="仿宋" w:cs="仿宋"/>
          <w:b w:val="0"/>
          <w:bCs w:val="0"/>
          <w:color w:val="auto"/>
          <w:sz w:val="21"/>
          <w:szCs w:val="21"/>
          <w:highlight w:val="none"/>
          <w:u w:val="single"/>
          <w:lang w:val="en-US" w:eastAsia="zh-CN"/>
        </w:rPr>
        <w:t>/</w:t>
      </w:r>
      <w:r>
        <w:rPr>
          <w:rFonts w:hint="eastAsia" w:ascii="仿宋" w:hAnsi="仿宋" w:eastAsia="仿宋" w:cs="仿宋"/>
          <w:b w:val="0"/>
          <w:bCs w:val="0"/>
          <w:color w:val="auto"/>
          <w:sz w:val="21"/>
          <w:szCs w:val="21"/>
          <w:highlight w:val="none"/>
          <w:u w:val="single"/>
        </w:rPr>
        <w:t>。</w:t>
      </w:r>
    </w:p>
    <w:p w14:paraId="1879D932">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b w:val="0"/>
          <w:bCs w:val="0"/>
          <w:color w:val="auto"/>
          <w:sz w:val="21"/>
          <w:szCs w:val="21"/>
          <w:highlight w:val="none"/>
          <w:u w:val="single"/>
        </w:rPr>
      </w:pPr>
      <w:r>
        <w:rPr>
          <w:rFonts w:hint="eastAsia" w:ascii="仿宋" w:hAnsi="仿宋" w:eastAsia="仿宋" w:cs="仿宋"/>
          <w:b w:val="0"/>
          <w:bCs w:val="0"/>
          <w:color w:val="auto"/>
          <w:sz w:val="21"/>
          <w:szCs w:val="21"/>
          <w:highlight w:val="none"/>
        </w:rPr>
        <w:t>发包人不按照本项约定组织竣工验收、颁发工程接收证书的违约金的计算方法：</w:t>
      </w:r>
      <w:r>
        <w:rPr>
          <w:rFonts w:hint="eastAsia" w:ascii="仿宋" w:hAnsi="仿宋" w:eastAsia="仿宋" w:cs="仿宋"/>
          <w:b w:val="0"/>
          <w:bCs w:val="0"/>
          <w:color w:val="auto"/>
          <w:sz w:val="21"/>
          <w:szCs w:val="21"/>
          <w:highlight w:val="none"/>
          <w:u w:val="single"/>
          <w:lang w:val="en-US" w:eastAsia="zh-CN"/>
        </w:rPr>
        <w:t>/</w:t>
      </w:r>
      <w:r>
        <w:rPr>
          <w:rFonts w:hint="eastAsia" w:ascii="仿宋" w:hAnsi="仿宋" w:eastAsia="仿宋" w:cs="仿宋"/>
          <w:b w:val="0"/>
          <w:bCs w:val="0"/>
          <w:color w:val="auto"/>
          <w:sz w:val="21"/>
          <w:szCs w:val="21"/>
          <w:highlight w:val="none"/>
          <w:u w:val="single"/>
        </w:rPr>
        <w:t>。</w:t>
      </w:r>
    </w:p>
    <w:p w14:paraId="40A2FF70">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13.2.5 移交、接收全部与部分工程</w:t>
      </w:r>
    </w:p>
    <w:p w14:paraId="2DE2BD75">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承包人向发包人移交工程的期限：</w:t>
      </w:r>
      <w:r>
        <w:rPr>
          <w:rFonts w:hint="eastAsia" w:ascii="仿宋" w:hAnsi="仿宋" w:eastAsia="仿宋" w:cs="仿宋"/>
          <w:b w:val="0"/>
          <w:bCs w:val="0"/>
          <w:color w:val="auto"/>
          <w:sz w:val="21"/>
          <w:szCs w:val="21"/>
          <w:highlight w:val="none"/>
          <w:u w:val="single"/>
          <w:lang w:val="en-US" w:eastAsia="zh-CN"/>
        </w:rPr>
        <w:t xml:space="preserve"> /</w:t>
      </w:r>
      <w:r>
        <w:rPr>
          <w:rFonts w:hint="eastAsia" w:ascii="仿宋" w:hAnsi="仿宋" w:eastAsia="仿宋" w:cs="仿宋"/>
          <w:b w:val="0"/>
          <w:bCs w:val="0"/>
          <w:color w:val="auto"/>
          <w:sz w:val="21"/>
          <w:szCs w:val="21"/>
          <w:highlight w:val="none"/>
          <w:u w:val="single"/>
        </w:rPr>
        <w:t>。</w:t>
      </w:r>
    </w:p>
    <w:p w14:paraId="37110619">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发包人未按本合同约定接收全部或部分工程的，违约金的计算方法为：</w:t>
      </w:r>
      <w:r>
        <w:rPr>
          <w:rFonts w:hint="eastAsia" w:ascii="仿宋" w:hAnsi="仿宋" w:eastAsia="仿宋" w:cs="仿宋"/>
          <w:b w:val="0"/>
          <w:bCs w:val="0"/>
          <w:color w:val="auto"/>
          <w:sz w:val="21"/>
          <w:szCs w:val="21"/>
          <w:highlight w:val="none"/>
          <w:u w:val="single"/>
          <w:lang w:val="en-US" w:eastAsia="zh-CN"/>
        </w:rPr>
        <w:t>/</w:t>
      </w:r>
      <w:r>
        <w:rPr>
          <w:rFonts w:hint="eastAsia" w:ascii="仿宋" w:hAnsi="仿宋" w:eastAsia="仿宋" w:cs="仿宋"/>
          <w:b w:val="0"/>
          <w:bCs w:val="0"/>
          <w:color w:val="auto"/>
          <w:sz w:val="21"/>
          <w:szCs w:val="21"/>
          <w:highlight w:val="none"/>
          <w:u w:val="single"/>
        </w:rPr>
        <w:t>。</w:t>
      </w:r>
    </w:p>
    <w:p w14:paraId="1D245A2E">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b w:val="0"/>
          <w:bCs w:val="0"/>
          <w:color w:val="auto"/>
          <w:sz w:val="21"/>
          <w:szCs w:val="21"/>
          <w:highlight w:val="none"/>
        </w:rPr>
        <w:t>承包人未按时移交工程的，违约金的计算方法为：</w:t>
      </w:r>
      <w:r>
        <w:rPr>
          <w:rFonts w:hint="eastAsia" w:ascii="仿宋" w:hAnsi="仿宋" w:eastAsia="仿宋" w:cs="仿宋"/>
          <w:b w:val="0"/>
          <w:bCs w:val="0"/>
          <w:color w:val="auto"/>
          <w:sz w:val="21"/>
          <w:szCs w:val="21"/>
          <w:highlight w:val="none"/>
          <w:u w:val="single"/>
        </w:rPr>
        <w:t>每逾期一天按1000元/天的标准向发包人支付违约金，工程逾期移交的违约金总额不超过合同总价的百分之二。</w:t>
      </w:r>
    </w:p>
    <w:p w14:paraId="23F66833">
      <w:pPr>
        <w:pageBreakBefore w:val="0"/>
        <w:shd w:val="clear"/>
        <w:bidi w:val="0"/>
        <w:adjustRightInd w:val="0"/>
        <w:snapToGrid w:val="0"/>
        <w:spacing w:beforeAutospacing="0" w:afterAutospacing="0" w:line="568" w:lineRule="exact"/>
        <w:ind w:firstLine="422" w:firstLineChars="200"/>
        <w:jc w:val="left"/>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13.6竣工退场</w:t>
      </w:r>
    </w:p>
    <w:p w14:paraId="784BB29E">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13.6.1竣工退场</w:t>
      </w:r>
    </w:p>
    <w:p w14:paraId="62EB32EF">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承包人完成竣工退场的期限：</w:t>
      </w:r>
      <w:r>
        <w:rPr>
          <w:rFonts w:hint="eastAsia" w:ascii="仿宋" w:hAnsi="仿宋" w:eastAsia="仿宋" w:cs="仿宋"/>
          <w:color w:val="auto"/>
          <w:sz w:val="21"/>
          <w:szCs w:val="21"/>
          <w:highlight w:val="none"/>
          <w:u w:val="single"/>
        </w:rPr>
        <w:t>工程竣工验收，按通用条款完成退场及场地清理后三天。</w:t>
      </w:r>
    </w:p>
    <w:p w14:paraId="3F5A3AA3">
      <w:pPr>
        <w:pStyle w:val="9"/>
        <w:pageBreakBefore w:val="0"/>
        <w:shd w:val="clear"/>
        <w:bidi w:val="0"/>
        <w:adjustRightInd w:val="0"/>
        <w:snapToGrid w:val="0"/>
        <w:spacing w:beforeAutospacing="0" w:afterAutospacing="0" w:line="568" w:lineRule="exact"/>
        <w:ind w:firstLine="422" w:firstLineChars="200"/>
        <w:rPr>
          <w:rFonts w:hint="eastAsia" w:ascii="仿宋" w:hAnsi="仿宋" w:eastAsia="仿宋" w:cs="仿宋"/>
          <w:b w:val="0"/>
          <w:bCs w:val="0"/>
          <w:color w:val="auto"/>
          <w:sz w:val="21"/>
          <w:szCs w:val="21"/>
          <w:highlight w:val="none"/>
        </w:rPr>
      </w:pPr>
      <w:bookmarkStart w:id="82" w:name="_Toc37169029"/>
      <w:r>
        <w:rPr>
          <w:rFonts w:hint="eastAsia" w:ascii="仿宋" w:hAnsi="仿宋" w:eastAsia="仿宋" w:cs="仿宋"/>
          <w:color w:val="auto"/>
          <w:sz w:val="21"/>
          <w:szCs w:val="21"/>
          <w:highlight w:val="none"/>
        </w:rPr>
        <w:t>14</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rPr>
        <w:t>竣工结算</w:t>
      </w:r>
      <w:bookmarkEnd w:id="82"/>
    </w:p>
    <w:p w14:paraId="4EE0A270">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14.1竣工结算申请</w:t>
      </w:r>
    </w:p>
    <w:p w14:paraId="4F33A2CF">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承包人提交竣工付款申请单的期限：</w:t>
      </w:r>
      <w:r>
        <w:rPr>
          <w:rFonts w:hint="eastAsia" w:ascii="仿宋" w:hAnsi="仿宋" w:eastAsia="仿宋" w:cs="仿宋"/>
          <w:color w:val="auto"/>
          <w:sz w:val="21"/>
          <w:szCs w:val="21"/>
          <w:highlight w:val="none"/>
          <w:u w:val="single"/>
        </w:rPr>
        <w:t>竣工验收合格后</w:t>
      </w:r>
      <w:r>
        <w:rPr>
          <w:rFonts w:hint="eastAsia" w:ascii="仿宋" w:hAnsi="仿宋" w:eastAsia="仿宋" w:cs="仿宋"/>
          <w:color w:val="auto"/>
          <w:sz w:val="21"/>
          <w:szCs w:val="21"/>
          <w:highlight w:val="none"/>
          <w:u w:val="single"/>
          <w:lang w:val="en-US" w:eastAsia="zh-CN"/>
        </w:rPr>
        <w:t>48</w:t>
      </w:r>
      <w:r>
        <w:rPr>
          <w:rFonts w:hint="eastAsia" w:ascii="仿宋" w:hAnsi="仿宋" w:eastAsia="仿宋" w:cs="仿宋"/>
          <w:color w:val="auto"/>
          <w:sz w:val="21"/>
          <w:szCs w:val="21"/>
          <w:highlight w:val="none"/>
          <w:u w:val="single"/>
        </w:rPr>
        <w:t>日之内。</w:t>
      </w:r>
    </w:p>
    <w:p w14:paraId="4372D57F">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竣工付款申请单应包括的内容：</w:t>
      </w:r>
      <w:r>
        <w:rPr>
          <w:rFonts w:hint="eastAsia" w:ascii="仿宋" w:hAnsi="仿宋" w:eastAsia="仿宋" w:cs="仿宋"/>
          <w:color w:val="auto"/>
          <w:sz w:val="21"/>
          <w:szCs w:val="21"/>
          <w:highlight w:val="none"/>
          <w:u w:val="single"/>
        </w:rPr>
        <w:t>应按相关工程施工技术资料管理规定的要求，整理好完整的竣工图、竣工资料及完整有效的结算资料报送发包人。</w:t>
      </w:r>
    </w:p>
    <w:p w14:paraId="6A88664B">
      <w:pPr>
        <w:pageBreakBefore w:val="0"/>
        <w:shd w:val="clear"/>
        <w:bidi w:val="0"/>
        <w:adjustRightInd w:val="0"/>
        <w:snapToGrid w:val="0"/>
        <w:spacing w:beforeAutospacing="0" w:afterAutospacing="0" w:line="568" w:lineRule="exact"/>
        <w:ind w:firstLine="48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14.2竣工结算审核</w:t>
      </w:r>
    </w:p>
    <w:p w14:paraId="30F01EF1">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u w:val="none"/>
        </w:rPr>
        <w:t>发包人审批竣工付款申请单的期限：</w:t>
      </w:r>
      <w:r>
        <w:rPr>
          <w:rFonts w:hint="eastAsia" w:ascii="仿宋" w:hAnsi="仿宋" w:eastAsia="仿宋" w:cs="仿宋"/>
          <w:color w:val="auto"/>
          <w:sz w:val="21"/>
          <w:szCs w:val="21"/>
          <w:highlight w:val="none"/>
          <w:u w:val="single"/>
        </w:rPr>
        <w:t>满足合同付款条件后。</w:t>
      </w:r>
    </w:p>
    <w:p w14:paraId="7ACB936B">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u w:val="none"/>
        </w:rPr>
        <w:t>发包人完成竣工付款的期限：</w:t>
      </w:r>
      <w:r>
        <w:rPr>
          <w:rFonts w:hint="eastAsia" w:ascii="仿宋" w:hAnsi="仿宋" w:eastAsia="仿宋" w:cs="仿宋"/>
          <w:color w:val="auto"/>
          <w:sz w:val="21"/>
          <w:szCs w:val="21"/>
          <w:highlight w:val="none"/>
          <w:u w:val="single"/>
        </w:rPr>
        <w:t>/。</w:t>
      </w:r>
    </w:p>
    <w:p w14:paraId="501C377B">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u w:val="single"/>
        </w:rPr>
        <w:t>项目最终结算如有投资追加按如下条款执行：项目最终结算审定金额超过合同金额的，超出合同金额10%以内部分（含10％）再让利（下浮）5%；超出合同金额10%～20%的部分再让利（下浮）10%；超过合同金额20%（含20%）以上部分再让利（下浮）15%。以上下浮实行差额定率累进计算。</w:t>
      </w:r>
    </w:p>
    <w:p w14:paraId="52F6CB21">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u w:val="single"/>
        </w:rPr>
        <w:t>工程结算金额由长沙市芙蓉区</w:t>
      </w:r>
      <w:r>
        <w:rPr>
          <w:rFonts w:hint="eastAsia" w:ascii="仿宋" w:hAnsi="仿宋" w:eastAsia="仿宋" w:cs="仿宋"/>
          <w:color w:val="auto"/>
          <w:sz w:val="21"/>
          <w:szCs w:val="21"/>
          <w:highlight w:val="none"/>
          <w:u w:val="single"/>
          <w:lang w:eastAsia="zh-CN"/>
        </w:rPr>
        <w:t>相关部门</w:t>
      </w:r>
      <w:r>
        <w:rPr>
          <w:rFonts w:hint="eastAsia" w:ascii="仿宋" w:hAnsi="仿宋" w:eastAsia="仿宋" w:cs="仿宋"/>
          <w:color w:val="auto"/>
          <w:sz w:val="21"/>
          <w:szCs w:val="21"/>
          <w:highlight w:val="none"/>
          <w:u w:val="single"/>
          <w:lang w:val="en-US" w:eastAsia="zh-CN"/>
        </w:rPr>
        <w:t>或第三方造价咨询机构</w:t>
      </w:r>
      <w:r>
        <w:rPr>
          <w:rFonts w:hint="eastAsia" w:ascii="仿宋" w:hAnsi="仿宋" w:eastAsia="仿宋" w:cs="仿宋"/>
          <w:color w:val="auto"/>
          <w:sz w:val="21"/>
          <w:szCs w:val="21"/>
          <w:highlight w:val="none"/>
          <w:u w:val="single"/>
        </w:rPr>
        <w:t>最终审定的金额为准。</w:t>
      </w:r>
    </w:p>
    <w:p w14:paraId="551772BA">
      <w:pPr>
        <w:pageBreakBefore w:val="0"/>
        <w:shd w:val="clear"/>
        <w:bidi w:val="0"/>
        <w:adjustRightInd w:val="0"/>
        <w:snapToGrid w:val="0"/>
        <w:spacing w:beforeAutospacing="0" w:afterAutospacing="0" w:line="568" w:lineRule="exact"/>
        <w:ind w:firstLine="420" w:firstLineChars="200"/>
        <w:jc w:val="left"/>
        <w:rPr>
          <w:rFonts w:hint="eastAsia"/>
          <w:color w:val="auto"/>
          <w:sz w:val="21"/>
          <w:szCs w:val="21"/>
          <w:highlight w:val="none"/>
        </w:rPr>
      </w:pPr>
      <w:r>
        <w:rPr>
          <w:rFonts w:hint="eastAsia" w:ascii="仿宋" w:hAnsi="仿宋" w:eastAsia="仿宋" w:cs="仿宋"/>
          <w:color w:val="auto"/>
          <w:sz w:val="21"/>
          <w:szCs w:val="21"/>
          <w:highlight w:val="none"/>
          <w:u w:val="single"/>
        </w:rPr>
        <w:t>承包人应严格按工程预算与合同价格编制工程结算书，所报工程结算核减额度超过20%的，项目结算评审</w:t>
      </w:r>
      <w:r>
        <w:rPr>
          <w:rFonts w:hint="eastAsia" w:ascii="仿宋" w:hAnsi="仿宋" w:eastAsia="仿宋" w:cs="仿宋"/>
          <w:color w:val="auto"/>
          <w:sz w:val="21"/>
          <w:szCs w:val="21"/>
          <w:highlight w:val="none"/>
          <w:u w:val="single"/>
          <w:lang w:eastAsia="zh-CN"/>
        </w:rPr>
        <w:t>服务</w:t>
      </w:r>
      <w:r>
        <w:rPr>
          <w:rFonts w:hint="eastAsia" w:ascii="仿宋" w:hAnsi="仿宋" w:eastAsia="仿宋" w:cs="仿宋"/>
          <w:color w:val="auto"/>
          <w:sz w:val="21"/>
          <w:szCs w:val="21"/>
          <w:highlight w:val="none"/>
          <w:u w:val="single"/>
        </w:rPr>
        <w:t>费由</w:t>
      </w:r>
      <w:r>
        <w:rPr>
          <w:rFonts w:hint="eastAsia" w:ascii="仿宋" w:hAnsi="仿宋" w:eastAsia="仿宋" w:cs="仿宋"/>
          <w:color w:val="auto"/>
          <w:sz w:val="21"/>
          <w:szCs w:val="21"/>
          <w:highlight w:val="none"/>
          <w:u w:val="single"/>
          <w:lang w:eastAsia="zh-CN"/>
        </w:rPr>
        <w:t>承包人</w:t>
      </w:r>
      <w:r>
        <w:rPr>
          <w:rFonts w:hint="eastAsia" w:ascii="仿宋" w:hAnsi="仿宋" w:eastAsia="仿宋" w:cs="仿宋"/>
          <w:color w:val="auto"/>
          <w:sz w:val="21"/>
          <w:szCs w:val="21"/>
          <w:highlight w:val="none"/>
          <w:u w:val="single"/>
        </w:rPr>
        <w:t>承担。</w:t>
      </w:r>
    </w:p>
    <w:p w14:paraId="2E34493B">
      <w:pPr>
        <w:pageBreakBefore w:val="0"/>
        <w:shd w:val="clear"/>
        <w:bidi w:val="0"/>
        <w:adjustRightInd w:val="0"/>
        <w:snapToGrid w:val="0"/>
        <w:spacing w:beforeAutospacing="0" w:afterAutospacing="0" w:line="568" w:lineRule="exact"/>
        <w:ind w:firstLine="422" w:firstLineChars="200"/>
        <w:jc w:val="left"/>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14.4 最终结清</w:t>
      </w:r>
    </w:p>
    <w:p w14:paraId="6DAA5A52">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14.4.1 最终结清申请单</w:t>
      </w:r>
    </w:p>
    <w:p w14:paraId="7798FAA6">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承包人提交最终结清申请单的份数：</w:t>
      </w:r>
      <w:r>
        <w:rPr>
          <w:rFonts w:hint="eastAsia" w:ascii="仿宋" w:hAnsi="仿宋" w:eastAsia="仿宋" w:cs="仿宋"/>
          <w:color w:val="auto"/>
          <w:sz w:val="21"/>
          <w:szCs w:val="21"/>
          <w:highlight w:val="none"/>
          <w:u w:val="single"/>
        </w:rPr>
        <w:t>一式肆份。</w:t>
      </w:r>
    </w:p>
    <w:p w14:paraId="77919C0C">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承包人提交最终结算申请单的期限：</w:t>
      </w:r>
      <w:r>
        <w:rPr>
          <w:rFonts w:hint="eastAsia" w:ascii="仿宋" w:hAnsi="仿宋" w:eastAsia="仿宋" w:cs="仿宋"/>
          <w:color w:val="auto"/>
          <w:sz w:val="21"/>
          <w:szCs w:val="21"/>
          <w:highlight w:val="none"/>
          <w:u w:val="single"/>
          <w:lang w:val="en-US" w:eastAsia="zh-CN"/>
        </w:rPr>
        <w:t>/</w:t>
      </w:r>
      <w:r>
        <w:rPr>
          <w:rFonts w:hint="eastAsia" w:ascii="仿宋" w:hAnsi="仿宋" w:eastAsia="仿宋" w:cs="仿宋"/>
          <w:color w:val="auto"/>
          <w:sz w:val="21"/>
          <w:szCs w:val="21"/>
          <w:highlight w:val="none"/>
          <w:u w:val="single"/>
        </w:rPr>
        <w:t>。</w:t>
      </w:r>
    </w:p>
    <w:p w14:paraId="53B8BD43">
      <w:pPr>
        <w:pStyle w:val="9"/>
        <w:pageBreakBefore w:val="0"/>
        <w:shd w:val="clear"/>
        <w:bidi w:val="0"/>
        <w:adjustRightInd w:val="0"/>
        <w:snapToGrid w:val="0"/>
        <w:spacing w:beforeAutospacing="0" w:afterAutospacing="0" w:line="568" w:lineRule="exact"/>
        <w:ind w:firstLine="422" w:firstLineChars="200"/>
        <w:rPr>
          <w:rFonts w:hint="eastAsia" w:ascii="仿宋" w:hAnsi="仿宋" w:eastAsia="仿宋" w:cs="仿宋"/>
          <w:color w:val="auto"/>
          <w:sz w:val="21"/>
          <w:szCs w:val="21"/>
          <w:highlight w:val="none"/>
        </w:rPr>
      </w:pPr>
      <w:bookmarkStart w:id="83" w:name="_Toc37169030"/>
      <w:r>
        <w:rPr>
          <w:rFonts w:hint="eastAsia" w:ascii="仿宋" w:hAnsi="仿宋" w:eastAsia="仿宋" w:cs="仿宋"/>
          <w:color w:val="auto"/>
          <w:sz w:val="21"/>
          <w:szCs w:val="21"/>
          <w:highlight w:val="none"/>
        </w:rPr>
        <w:t>15</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rPr>
        <w:t>缺陷责任与保修</w:t>
      </w:r>
      <w:bookmarkEnd w:id="83"/>
    </w:p>
    <w:p w14:paraId="29FC53BD">
      <w:pPr>
        <w:pageBreakBefore w:val="0"/>
        <w:shd w:val="clear"/>
        <w:bidi w:val="0"/>
        <w:adjustRightInd w:val="0"/>
        <w:snapToGrid w:val="0"/>
        <w:spacing w:beforeAutospacing="0" w:afterAutospacing="0" w:line="568" w:lineRule="exact"/>
        <w:ind w:firstLine="441" w:firstLineChars="209"/>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15.2 缺陷责任期</w:t>
      </w:r>
    </w:p>
    <w:p w14:paraId="3B0EF1B9">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b w:val="0"/>
          <w:bCs w:val="0"/>
          <w:color w:val="auto"/>
          <w:sz w:val="21"/>
          <w:szCs w:val="21"/>
          <w:highlight w:val="none"/>
        </w:rPr>
        <w:t>缺陷责任期的具体期限：</w:t>
      </w:r>
      <w:r>
        <w:rPr>
          <w:rFonts w:hint="eastAsia" w:ascii="仿宋" w:hAnsi="仿宋" w:eastAsia="仿宋" w:cs="仿宋"/>
          <w:b w:val="0"/>
          <w:bCs w:val="0"/>
          <w:color w:val="auto"/>
          <w:sz w:val="21"/>
          <w:szCs w:val="21"/>
          <w:highlight w:val="none"/>
          <w:u w:val="single"/>
        </w:rPr>
        <w:t>工程竣工验收并签发工程移交证书后24个月</w:t>
      </w:r>
      <w:r>
        <w:rPr>
          <w:rFonts w:hint="eastAsia" w:ascii="仿宋" w:hAnsi="仿宋" w:eastAsia="仿宋" w:cs="仿宋"/>
          <w:b w:val="0"/>
          <w:bCs w:val="0"/>
          <w:color w:val="auto"/>
          <w:sz w:val="21"/>
          <w:szCs w:val="21"/>
          <w:highlight w:val="none"/>
        </w:rPr>
        <w:t>。</w:t>
      </w:r>
    </w:p>
    <w:p w14:paraId="0F10A956">
      <w:pPr>
        <w:pageBreakBefore w:val="0"/>
        <w:shd w:val="clear"/>
        <w:bidi w:val="0"/>
        <w:adjustRightInd w:val="0"/>
        <w:snapToGrid w:val="0"/>
        <w:spacing w:beforeAutospacing="0" w:afterAutospacing="0" w:line="568" w:lineRule="exact"/>
        <w:ind w:firstLine="48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15.3 质量保证金</w:t>
      </w:r>
    </w:p>
    <w:p w14:paraId="7157D4D8">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关于是否扣留质量保证金的约定：</w:t>
      </w:r>
      <w:r>
        <w:rPr>
          <w:rFonts w:hint="eastAsia" w:ascii="仿宋" w:hAnsi="仿宋" w:eastAsia="仿宋" w:cs="仿宋"/>
          <w:color w:val="auto"/>
          <w:sz w:val="21"/>
          <w:szCs w:val="21"/>
          <w:highlight w:val="none"/>
          <w:u w:val="single"/>
        </w:rPr>
        <w:t>是。</w:t>
      </w:r>
    </w:p>
    <w:p w14:paraId="52023887">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15.3.1 承包人提供质量保证金的方式</w:t>
      </w:r>
    </w:p>
    <w:p w14:paraId="7E0B2375">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质量保证金采用以下第</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u w:val="single"/>
          <w:lang w:val="en-US" w:eastAsia="zh-CN"/>
        </w:rPr>
        <w:t>2</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种方式：</w:t>
      </w:r>
    </w:p>
    <w:p w14:paraId="2401B2A6">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u w:val="single"/>
          <w:lang w:val="en-US" w:eastAsia="zh-CN"/>
        </w:rPr>
        <w:t>3</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的工程款；</w:t>
      </w:r>
    </w:p>
    <w:p w14:paraId="649D06C2">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15.3.2 质量保证金的扣留 </w:t>
      </w:r>
    </w:p>
    <w:p w14:paraId="33339BED">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质量保证金的扣留采取以下第</w:t>
      </w:r>
      <w:r>
        <w:rPr>
          <w:rFonts w:hint="eastAsia" w:ascii="仿宋" w:hAnsi="仿宋" w:eastAsia="仿宋" w:cs="仿宋"/>
          <w:color w:val="auto"/>
          <w:sz w:val="21"/>
          <w:szCs w:val="21"/>
          <w:highlight w:val="none"/>
          <w:u w:val="single"/>
        </w:rPr>
        <w:t xml:space="preserve"> 2 </w:t>
      </w:r>
      <w:r>
        <w:rPr>
          <w:rFonts w:hint="eastAsia" w:ascii="仿宋" w:hAnsi="仿宋" w:eastAsia="仿宋" w:cs="仿宋"/>
          <w:color w:val="auto"/>
          <w:sz w:val="21"/>
          <w:szCs w:val="21"/>
          <w:highlight w:val="none"/>
        </w:rPr>
        <w:t>种方式：</w:t>
      </w:r>
    </w:p>
    <w:p w14:paraId="7E33F7DD">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u w:val="single"/>
        </w:rPr>
        <w:t>竣工结算后扣留 3%的工程款作为质保金</w:t>
      </w:r>
      <w:r>
        <w:rPr>
          <w:rFonts w:hint="eastAsia" w:ascii="仿宋" w:hAnsi="仿宋" w:eastAsia="仿宋" w:cs="仿宋"/>
          <w:color w:val="auto"/>
          <w:sz w:val="21"/>
          <w:szCs w:val="21"/>
          <w:highlight w:val="none"/>
        </w:rPr>
        <w:t>。</w:t>
      </w:r>
    </w:p>
    <w:p w14:paraId="7F4D4AF4">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rPr>
        <w:t>关于质量保证金的补充约定：</w:t>
      </w:r>
      <w:r>
        <w:rPr>
          <w:rFonts w:hint="eastAsia" w:ascii="仿宋" w:hAnsi="仿宋" w:eastAsia="仿宋" w:cs="仿宋"/>
          <w:color w:val="auto"/>
          <w:sz w:val="21"/>
          <w:szCs w:val="21"/>
          <w:highlight w:val="none"/>
          <w:u w:val="single"/>
        </w:rPr>
        <w:t>承包人按照按国务院[2000]279 号令《建设工程质量管理条例》 、建质[2017]138 号《住房城乡建设部 财政部关于印发建设工程质量保证金管理办法的通知》及相关规定，承担工程质量保修责任，结算造价的 3%为质量保修金，从项目竣工验收合格日算起，质保期贰年满后 30 日内无质量问题付清保修金余款（质量保修金不计付利息）。保修款返还时扣除保修期间发包人代维修费（由于承包人方不按合同约定来维修，发包人维修所发生的费用）和由于承包人工程质量缺陷问题造成的损失赔偿费用。</w:t>
      </w:r>
    </w:p>
    <w:p w14:paraId="4A796CAA">
      <w:pPr>
        <w:pageBreakBefore w:val="0"/>
        <w:shd w:val="clear"/>
        <w:bidi w:val="0"/>
        <w:adjustRightInd w:val="0"/>
        <w:snapToGrid w:val="0"/>
        <w:spacing w:beforeAutospacing="0" w:afterAutospacing="0" w:line="568" w:lineRule="exact"/>
        <w:ind w:firstLine="443" w:firstLineChars="21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 xml:space="preserve">15.4保修 </w:t>
      </w:r>
    </w:p>
    <w:p w14:paraId="4C27C432">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15.4.1保修责任</w:t>
      </w:r>
    </w:p>
    <w:p w14:paraId="7B38A521">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工程保修期为：</w:t>
      </w:r>
      <w:r>
        <w:rPr>
          <w:rFonts w:hint="eastAsia" w:ascii="仿宋" w:hAnsi="仿宋" w:eastAsia="仿宋" w:cs="仿宋"/>
          <w:color w:val="auto"/>
          <w:sz w:val="21"/>
          <w:szCs w:val="21"/>
          <w:highlight w:val="none"/>
          <w:u w:val="single"/>
        </w:rPr>
        <w:t>按本项目《工程质量保修书》（附件</w:t>
      </w:r>
      <w:r>
        <w:rPr>
          <w:rFonts w:hint="eastAsia" w:ascii="仿宋" w:hAnsi="仿宋" w:eastAsia="仿宋" w:cs="仿宋"/>
          <w:color w:val="auto"/>
          <w:sz w:val="21"/>
          <w:szCs w:val="21"/>
          <w:highlight w:val="none"/>
          <w:u w:val="single"/>
          <w:lang w:val="en-US" w:eastAsia="zh-CN"/>
        </w:rPr>
        <w:t>1</w:t>
      </w:r>
      <w:r>
        <w:rPr>
          <w:rFonts w:hint="eastAsia" w:ascii="仿宋" w:hAnsi="仿宋" w:eastAsia="仿宋" w:cs="仿宋"/>
          <w:color w:val="auto"/>
          <w:sz w:val="21"/>
          <w:szCs w:val="21"/>
          <w:highlight w:val="none"/>
          <w:u w:val="single"/>
        </w:rPr>
        <w:t>）。</w:t>
      </w:r>
    </w:p>
    <w:p w14:paraId="3C9F4641">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15.4.3修复通知</w:t>
      </w:r>
    </w:p>
    <w:p w14:paraId="7FED1FD6">
      <w:pPr>
        <w:pageBreakBefore w:val="0"/>
        <w:shd w:val="clear"/>
        <w:bidi w:val="0"/>
        <w:adjustRightInd w:val="0"/>
        <w:snapToGrid w:val="0"/>
        <w:spacing w:beforeAutospacing="0" w:afterAutospacing="0" w:line="568" w:lineRule="exact"/>
        <w:ind w:firstLine="441" w:firstLineChars="2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承包人收到保修通知并到达工程现场的合理时间：</w:t>
      </w:r>
      <w:r>
        <w:rPr>
          <w:rFonts w:hint="eastAsia" w:ascii="仿宋" w:hAnsi="仿宋" w:eastAsia="仿宋" w:cs="仿宋"/>
          <w:color w:val="auto"/>
          <w:sz w:val="21"/>
          <w:szCs w:val="21"/>
          <w:highlight w:val="none"/>
          <w:u w:val="single"/>
          <w:lang w:val="en-US" w:eastAsia="zh-CN"/>
        </w:rPr>
        <w:t xml:space="preserve"> 承包人必须在接到发包人或其委托移交的管理部门等任何方式的通知4小时内回复，且24小时内（紧急情况下两小时内）到场维修，否则发包人有权委托他人维修，承包人按发包人委托其他第三方整改所发生费用的双倍向发包人支付违约金，以上费用不须经承包人同意，发包人有权直接从质保金中扣除</w:t>
      </w:r>
      <w:r>
        <w:rPr>
          <w:rFonts w:hint="eastAsia" w:ascii="仿宋" w:hAnsi="仿宋" w:eastAsia="仿宋" w:cs="仿宋"/>
          <w:color w:val="auto"/>
          <w:sz w:val="21"/>
          <w:szCs w:val="21"/>
          <w:highlight w:val="none"/>
          <w:u w:val="single"/>
        </w:rPr>
        <w:t>。</w:t>
      </w:r>
    </w:p>
    <w:p w14:paraId="758658D2">
      <w:pPr>
        <w:pageBreakBefore w:val="0"/>
        <w:shd w:val="clear"/>
        <w:bidi w:val="0"/>
        <w:adjustRightInd w:val="0"/>
        <w:snapToGrid w:val="0"/>
        <w:spacing w:beforeAutospacing="0" w:afterAutospacing="0" w:line="568" w:lineRule="exact"/>
        <w:ind w:firstLine="422" w:firstLineChars="200"/>
        <w:rPr>
          <w:rFonts w:hint="eastAsia" w:ascii="仿宋" w:hAnsi="仿宋" w:eastAsia="仿宋" w:cs="仿宋"/>
          <w:b/>
          <w:bCs/>
          <w:color w:val="auto"/>
          <w:sz w:val="21"/>
          <w:szCs w:val="21"/>
          <w:highlight w:val="none"/>
        </w:rPr>
      </w:pPr>
      <w:bookmarkStart w:id="84" w:name="_Toc37169031"/>
      <w:r>
        <w:rPr>
          <w:rFonts w:hint="eastAsia" w:ascii="仿宋" w:hAnsi="仿宋" w:eastAsia="仿宋" w:cs="仿宋"/>
          <w:b/>
          <w:bCs/>
          <w:color w:val="auto"/>
          <w:sz w:val="21"/>
          <w:szCs w:val="21"/>
          <w:highlight w:val="none"/>
        </w:rPr>
        <w:t>16</w:t>
      </w:r>
      <w:r>
        <w:rPr>
          <w:rFonts w:hint="eastAsia" w:ascii="仿宋" w:hAnsi="仿宋" w:eastAsia="仿宋" w:cs="仿宋"/>
          <w:b/>
          <w:bCs/>
          <w:color w:val="auto"/>
          <w:sz w:val="21"/>
          <w:szCs w:val="21"/>
          <w:highlight w:val="none"/>
          <w:lang w:val="en-US" w:eastAsia="zh-CN"/>
        </w:rPr>
        <w:t>.</w:t>
      </w:r>
      <w:r>
        <w:rPr>
          <w:rFonts w:hint="eastAsia" w:ascii="仿宋" w:hAnsi="仿宋" w:eastAsia="仿宋" w:cs="仿宋"/>
          <w:b/>
          <w:bCs/>
          <w:color w:val="auto"/>
          <w:sz w:val="21"/>
          <w:szCs w:val="21"/>
          <w:highlight w:val="none"/>
        </w:rPr>
        <w:t>违约</w:t>
      </w:r>
      <w:bookmarkEnd w:id="84"/>
    </w:p>
    <w:p w14:paraId="698F0F11">
      <w:pPr>
        <w:pageBreakBefore w:val="0"/>
        <w:shd w:val="clear"/>
        <w:bidi w:val="0"/>
        <w:adjustRightInd w:val="0"/>
        <w:snapToGrid w:val="0"/>
        <w:spacing w:beforeAutospacing="0" w:afterAutospacing="0" w:line="568" w:lineRule="exact"/>
        <w:ind w:firstLine="422" w:firstLineChars="200"/>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16.1 发包人违约</w:t>
      </w:r>
    </w:p>
    <w:p w14:paraId="07CED14F">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16.1.1发包人违约的情形</w:t>
      </w:r>
    </w:p>
    <w:p w14:paraId="68D99ECB">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发包人违约的其他情形：</w:t>
      </w:r>
      <w:r>
        <w:rPr>
          <w:rFonts w:hint="eastAsia" w:ascii="仿宋" w:hAnsi="仿宋" w:eastAsia="仿宋" w:cs="仿宋"/>
          <w:color w:val="auto"/>
          <w:kern w:val="0"/>
          <w:sz w:val="21"/>
          <w:szCs w:val="21"/>
          <w:highlight w:val="none"/>
          <w:u w:val="single"/>
        </w:rPr>
        <w:t>/。</w:t>
      </w:r>
    </w:p>
    <w:p w14:paraId="7F2C9477">
      <w:pPr>
        <w:pageBreakBefore w:val="0"/>
        <w:shd w:val="clear"/>
        <w:bidi w:val="0"/>
        <w:adjustRightInd w:val="0"/>
        <w:snapToGrid w:val="0"/>
        <w:spacing w:beforeAutospacing="0" w:afterAutospacing="0" w:line="568" w:lineRule="exact"/>
        <w:ind w:firstLine="422" w:firstLineChars="200"/>
        <w:jc w:val="left"/>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16.2 承包人违约</w:t>
      </w:r>
    </w:p>
    <w:p w14:paraId="38F1CCB2">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16.2.1 承包人违约的情形</w:t>
      </w:r>
    </w:p>
    <w:p w14:paraId="1D424F33">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承包人违约的其他情形：</w:t>
      </w:r>
      <w:r>
        <w:rPr>
          <w:rFonts w:hint="eastAsia" w:ascii="仿宋" w:hAnsi="仿宋" w:eastAsia="仿宋" w:cs="仿宋"/>
          <w:color w:val="auto"/>
          <w:kern w:val="0"/>
          <w:sz w:val="21"/>
          <w:szCs w:val="21"/>
          <w:highlight w:val="none"/>
          <w:u w:val="single"/>
        </w:rPr>
        <w:t>以 16.2.2 条约定为准。</w:t>
      </w:r>
    </w:p>
    <w:p w14:paraId="2A305B9E">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16.2.2承包人违约的责任</w:t>
      </w:r>
    </w:p>
    <w:p w14:paraId="5B8D9B68">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u w:val="single"/>
        </w:rPr>
      </w:pPr>
      <w:r>
        <w:rPr>
          <w:rFonts w:hint="eastAsia" w:ascii="仿宋" w:hAnsi="仿宋" w:eastAsia="仿宋" w:cs="仿宋"/>
          <w:color w:val="auto"/>
          <w:kern w:val="0"/>
          <w:sz w:val="21"/>
          <w:szCs w:val="21"/>
          <w:highlight w:val="none"/>
        </w:rPr>
        <w:t>承包人违约责任的承担方式和计算方法：</w:t>
      </w:r>
      <w:r>
        <w:rPr>
          <w:rFonts w:hint="eastAsia" w:ascii="仿宋" w:hAnsi="仿宋" w:eastAsia="仿宋" w:cs="仿宋"/>
          <w:color w:val="auto"/>
          <w:kern w:val="0"/>
          <w:sz w:val="21"/>
          <w:szCs w:val="21"/>
          <w:highlight w:val="none"/>
          <w:u w:val="single"/>
        </w:rPr>
        <w:t>承包人存在以下行为的，发包人有权要求承包人承担相应违约责任，若因承包人违约导致解除合同的，承包人应承担由此引起的一切法律责任，并负责赔偿由此引起的发包人的一切经济损失。</w:t>
      </w:r>
    </w:p>
    <w:p w14:paraId="75622FEE">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u w:val="single"/>
        </w:rPr>
      </w:pPr>
      <w:r>
        <w:rPr>
          <w:rFonts w:hint="eastAsia" w:ascii="仿宋" w:hAnsi="仿宋" w:eastAsia="仿宋" w:cs="仿宋"/>
          <w:color w:val="auto"/>
          <w:kern w:val="0"/>
          <w:sz w:val="21"/>
          <w:szCs w:val="21"/>
          <w:highlight w:val="none"/>
          <w:u w:val="single"/>
          <w:lang w:eastAsia="zh-CN"/>
        </w:rPr>
        <w:t>（</w:t>
      </w:r>
      <w:r>
        <w:rPr>
          <w:rFonts w:hint="eastAsia" w:ascii="仿宋" w:hAnsi="仿宋" w:eastAsia="仿宋" w:cs="仿宋"/>
          <w:color w:val="auto"/>
          <w:kern w:val="0"/>
          <w:sz w:val="21"/>
          <w:szCs w:val="21"/>
          <w:highlight w:val="none"/>
          <w:u w:val="single"/>
          <w:lang w:val="en-US" w:eastAsia="zh-CN"/>
        </w:rPr>
        <w:t>1</w:t>
      </w:r>
      <w:r>
        <w:rPr>
          <w:rFonts w:hint="eastAsia" w:ascii="仿宋" w:hAnsi="仿宋" w:eastAsia="仿宋" w:cs="仿宋"/>
          <w:color w:val="auto"/>
          <w:kern w:val="0"/>
          <w:sz w:val="21"/>
          <w:szCs w:val="21"/>
          <w:highlight w:val="none"/>
          <w:u w:val="single"/>
          <w:lang w:eastAsia="zh-CN"/>
        </w:rPr>
        <w:t>）</w:t>
      </w:r>
      <w:r>
        <w:rPr>
          <w:rFonts w:hint="eastAsia" w:ascii="仿宋" w:hAnsi="仿宋" w:eastAsia="仿宋" w:cs="仿宋"/>
          <w:color w:val="auto"/>
          <w:kern w:val="0"/>
          <w:sz w:val="21"/>
          <w:szCs w:val="21"/>
          <w:highlight w:val="none"/>
          <w:u w:val="single"/>
        </w:rPr>
        <w:t>本工程具体分项工程完成时间应服从发包人的总体要求，如果因承包人原因导致实际进度与发包人要求的进度计划不符，承包人无措施或无法按工期完工或质量无法达到合同要求的，发包人有权对部分分项工程指定第三方施工，承包人必须无条件服从和配合；此分项工程费用由发包人按实际发生费用从承包人的工程款中扣除，并加收10%的管理费</w:t>
      </w:r>
      <w:r>
        <w:rPr>
          <w:rFonts w:hint="eastAsia" w:ascii="仿宋" w:hAnsi="仿宋" w:eastAsia="仿宋" w:cs="仿宋"/>
          <w:color w:val="auto"/>
          <w:kern w:val="0"/>
          <w:sz w:val="21"/>
          <w:szCs w:val="21"/>
          <w:highlight w:val="none"/>
          <w:u w:val="single"/>
          <w:lang w:eastAsia="zh-CN"/>
        </w:rPr>
        <w:t>；</w:t>
      </w:r>
      <w:r>
        <w:rPr>
          <w:rFonts w:hint="eastAsia" w:ascii="仿宋" w:hAnsi="仿宋" w:eastAsia="仿宋" w:cs="仿宋"/>
          <w:color w:val="auto"/>
          <w:kern w:val="0"/>
          <w:sz w:val="21"/>
          <w:szCs w:val="21"/>
          <w:highlight w:val="none"/>
          <w:u w:val="single"/>
        </w:rPr>
        <w:t>当累计完成工程量不足计划进度的70%时，可认为承包人无能力按期履行合同，发包人有权解除合同并要求承包人按中标价10%承担违约金，承包人无条件退场。</w:t>
      </w:r>
    </w:p>
    <w:p w14:paraId="2B52EA59">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u w:val="single"/>
        </w:rPr>
      </w:pPr>
      <w:r>
        <w:rPr>
          <w:rFonts w:hint="eastAsia" w:ascii="仿宋" w:hAnsi="仿宋" w:eastAsia="仿宋" w:cs="仿宋"/>
          <w:color w:val="auto"/>
          <w:kern w:val="0"/>
          <w:sz w:val="21"/>
          <w:szCs w:val="21"/>
          <w:highlight w:val="none"/>
          <w:u w:val="single"/>
          <w:lang w:eastAsia="zh-CN"/>
        </w:rPr>
        <w:t>（</w:t>
      </w:r>
      <w:r>
        <w:rPr>
          <w:rFonts w:hint="eastAsia" w:ascii="仿宋" w:hAnsi="仿宋" w:eastAsia="仿宋" w:cs="仿宋"/>
          <w:color w:val="auto"/>
          <w:kern w:val="0"/>
          <w:sz w:val="21"/>
          <w:szCs w:val="21"/>
          <w:highlight w:val="none"/>
          <w:u w:val="single"/>
          <w:lang w:val="en-US" w:eastAsia="zh-CN"/>
        </w:rPr>
        <w:t>2</w:t>
      </w:r>
      <w:r>
        <w:rPr>
          <w:rFonts w:hint="eastAsia" w:ascii="仿宋" w:hAnsi="仿宋" w:eastAsia="仿宋" w:cs="仿宋"/>
          <w:color w:val="auto"/>
          <w:kern w:val="0"/>
          <w:sz w:val="21"/>
          <w:szCs w:val="21"/>
          <w:highlight w:val="none"/>
          <w:u w:val="single"/>
          <w:lang w:eastAsia="zh-CN"/>
        </w:rPr>
        <w:t>）</w:t>
      </w:r>
      <w:r>
        <w:rPr>
          <w:rFonts w:hint="eastAsia" w:ascii="仿宋" w:hAnsi="仿宋" w:eastAsia="仿宋" w:cs="仿宋"/>
          <w:color w:val="auto"/>
          <w:kern w:val="0"/>
          <w:sz w:val="21"/>
          <w:szCs w:val="21"/>
          <w:highlight w:val="none"/>
          <w:u w:val="single"/>
        </w:rPr>
        <w:t>若因承包人原因导致发包人因环境保护相关工作被政府职能部门追究行政责任的，承包人应按10000元/次向发包人支付违约金，若发包人被经济处罚的，承包人还应按被处罚金的双倍向发包人支付违约金；施工期间，若承包人发生被政府职能部门判定存在工程生产安全重大事故隐患的，承包人应按 10000元/次向发包人支付违约金；若累次发生的，应当按照双倍向发包人支付违约金。</w:t>
      </w:r>
    </w:p>
    <w:p w14:paraId="6EBB60A2">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u w:val="single"/>
        </w:rPr>
      </w:pPr>
      <w:r>
        <w:rPr>
          <w:rFonts w:hint="eastAsia" w:ascii="仿宋" w:hAnsi="仿宋" w:eastAsia="仿宋" w:cs="仿宋"/>
          <w:color w:val="auto"/>
          <w:kern w:val="0"/>
          <w:sz w:val="21"/>
          <w:szCs w:val="21"/>
          <w:highlight w:val="none"/>
          <w:u w:val="single"/>
          <w:lang w:eastAsia="zh-CN"/>
        </w:rPr>
        <w:t>（</w:t>
      </w:r>
      <w:r>
        <w:rPr>
          <w:rFonts w:hint="eastAsia" w:ascii="仿宋" w:hAnsi="仿宋" w:eastAsia="仿宋" w:cs="仿宋"/>
          <w:color w:val="auto"/>
          <w:kern w:val="0"/>
          <w:sz w:val="21"/>
          <w:szCs w:val="21"/>
          <w:highlight w:val="none"/>
          <w:u w:val="single"/>
          <w:lang w:val="en-US" w:eastAsia="zh-CN"/>
        </w:rPr>
        <w:t>3）</w:t>
      </w:r>
      <w:r>
        <w:rPr>
          <w:rFonts w:hint="eastAsia" w:ascii="仿宋" w:hAnsi="仿宋" w:eastAsia="仿宋" w:cs="仿宋"/>
          <w:color w:val="auto"/>
          <w:kern w:val="0"/>
          <w:sz w:val="21"/>
          <w:szCs w:val="21"/>
          <w:highlight w:val="none"/>
          <w:u w:val="single"/>
        </w:rPr>
        <w:t>承包人未按照程序报验的，每次向发包人支付1000元违约金；工序验收不合格的，每次向发包人支付2000元违约金。违约金在发包人履行书面告知程序（监理签发）后，于最近一次工程进度款中扣除。</w:t>
      </w:r>
    </w:p>
    <w:p w14:paraId="2D43ACB7">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u w:val="single"/>
        </w:rPr>
      </w:pPr>
      <w:r>
        <w:rPr>
          <w:rFonts w:hint="eastAsia" w:ascii="仿宋" w:hAnsi="仿宋" w:eastAsia="仿宋" w:cs="仿宋"/>
          <w:color w:val="auto"/>
          <w:kern w:val="0"/>
          <w:sz w:val="21"/>
          <w:szCs w:val="21"/>
          <w:highlight w:val="none"/>
          <w:u w:val="single"/>
          <w:lang w:eastAsia="zh-CN"/>
        </w:rPr>
        <w:t>（</w:t>
      </w:r>
      <w:r>
        <w:rPr>
          <w:rFonts w:hint="eastAsia" w:ascii="仿宋" w:hAnsi="仿宋" w:eastAsia="仿宋" w:cs="仿宋"/>
          <w:color w:val="auto"/>
          <w:kern w:val="0"/>
          <w:sz w:val="21"/>
          <w:szCs w:val="21"/>
          <w:highlight w:val="none"/>
          <w:u w:val="single"/>
          <w:lang w:val="en-US" w:eastAsia="zh-CN"/>
        </w:rPr>
        <w:t>4</w:t>
      </w:r>
      <w:r>
        <w:rPr>
          <w:rFonts w:hint="eastAsia" w:ascii="仿宋" w:hAnsi="仿宋" w:eastAsia="仿宋" w:cs="仿宋"/>
          <w:color w:val="auto"/>
          <w:kern w:val="0"/>
          <w:sz w:val="21"/>
          <w:szCs w:val="21"/>
          <w:highlight w:val="none"/>
          <w:u w:val="single"/>
          <w:lang w:eastAsia="zh-CN"/>
        </w:rPr>
        <w:t>）</w:t>
      </w:r>
      <w:r>
        <w:rPr>
          <w:rFonts w:hint="eastAsia" w:ascii="仿宋" w:hAnsi="仿宋" w:eastAsia="仿宋" w:cs="仿宋"/>
          <w:color w:val="auto"/>
          <w:kern w:val="0"/>
          <w:sz w:val="21"/>
          <w:szCs w:val="21"/>
          <w:highlight w:val="none"/>
          <w:u w:val="single"/>
        </w:rPr>
        <w:t>承包人须服从发包人发布的各项符合现行法律、法规的管理规定，如承包人不服从发包人及监理工程师的管理，每次向发包人支付1000元违约赔偿金，且发包人有权解除合同并要求承包人按中标价10%承担违约金，承包人无条件退场。</w:t>
      </w:r>
    </w:p>
    <w:p w14:paraId="489B4E87">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u w:val="single"/>
        </w:rPr>
      </w:pPr>
      <w:r>
        <w:rPr>
          <w:rFonts w:hint="eastAsia" w:ascii="仿宋" w:hAnsi="仿宋" w:eastAsia="仿宋" w:cs="仿宋"/>
          <w:color w:val="auto"/>
          <w:kern w:val="0"/>
          <w:sz w:val="21"/>
          <w:szCs w:val="21"/>
          <w:highlight w:val="none"/>
          <w:u w:val="single"/>
          <w:lang w:eastAsia="zh-CN"/>
        </w:rPr>
        <w:t>（</w:t>
      </w:r>
      <w:r>
        <w:rPr>
          <w:rFonts w:hint="eastAsia" w:ascii="仿宋" w:hAnsi="仿宋" w:eastAsia="仿宋" w:cs="仿宋"/>
          <w:color w:val="auto"/>
          <w:kern w:val="0"/>
          <w:sz w:val="21"/>
          <w:szCs w:val="21"/>
          <w:highlight w:val="none"/>
          <w:u w:val="single"/>
          <w:lang w:val="en-US" w:eastAsia="zh-CN"/>
        </w:rPr>
        <w:t>5</w:t>
      </w:r>
      <w:r>
        <w:rPr>
          <w:rFonts w:hint="eastAsia" w:ascii="仿宋" w:hAnsi="仿宋" w:eastAsia="仿宋" w:cs="仿宋"/>
          <w:color w:val="auto"/>
          <w:kern w:val="0"/>
          <w:sz w:val="21"/>
          <w:szCs w:val="21"/>
          <w:highlight w:val="none"/>
          <w:u w:val="single"/>
          <w:lang w:eastAsia="zh-CN"/>
        </w:rPr>
        <w:t>）</w:t>
      </w:r>
      <w:r>
        <w:rPr>
          <w:rFonts w:hint="eastAsia" w:ascii="仿宋" w:hAnsi="仿宋" w:eastAsia="仿宋" w:cs="仿宋"/>
          <w:color w:val="auto"/>
          <w:kern w:val="0"/>
          <w:sz w:val="21"/>
          <w:szCs w:val="21"/>
          <w:highlight w:val="none"/>
          <w:u w:val="single"/>
        </w:rPr>
        <w:t>工程竣工验收合格后28天内，承包人必须将符合发包人要求的竣工资料上报给发包人，否则每延迟一天支付1000元作为违约金。</w:t>
      </w:r>
    </w:p>
    <w:p w14:paraId="6306950B">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u w:val="single"/>
        </w:rPr>
      </w:pPr>
      <w:r>
        <w:rPr>
          <w:rFonts w:hint="eastAsia" w:ascii="仿宋" w:hAnsi="仿宋" w:eastAsia="仿宋" w:cs="仿宋"/>
          <w:color w:val="auto"/>
          <w:kern w:val="0"/>
          <w:sz w:val="21"/>
          <w:szCs w:val="21"/>
          <w:highlight w:val="none"/>
          <w:u w:val="single"/>
          <w:lang w:eastAsia="zh-CN"/>
        </w:rPr>
        <w:t>（</w:t>
      </w:r>
      <w:r>
        <w:rPr>
          <w:rFonts w:hint="eastAsia" w:ascii="仿宋" w:hAnsi="仿宋" w:eastAsia="仿宋" w:cs="仿宋"/>
          <w:color w:val="auto"/>
          <w:kern w:val="0"/>
          <w:sz w:val="21"/>
          <w:szCs w:val="21"/>
          <w:highlight w:val="none"/>
          <w:u w:val="single"/>
          <w:lang w:val="en-US" w:eastAsia="zh-CN"/>
        </w:rPr>
        <w:t>6</w:t>
      </w:r>
      <w:r>
        <w:rPr>
          <w:rFonts w:hint="eastAsia" w:ascii="仿宋" w:hAnsi="仿宋" w:eastAsia="仿宋" w:cs="仿宋"/>
          <w:color w:val="auto"/>
          <w:kern w:val="0"/>
          <w:sz w:val="21"/>
          <w:szCs w:val="21"/>
          <w:highlight w:val="none"/>
          <w:u w:val="single"/>
          <w:lang w:eastAsia="zh-CN"/>
        </w:rPr>
        <w:t>）</w:t>
      </w:r>
      <w:r>
        <w:rPr>
          <w:rFonts w:hint="eastAsia" w:ascii="仿宋" w:hAnsi="仿宋" w:eastAsia="仿宋" w:cs="仿宋"/>
          <w:color w:val="auto"/>
          <w:kern w:val="0"/>
          <w:sz w:val="21"/>
          <w:szCs w:val="21"/>
          <w:highlight w:val="none"/>
          <w:u w:val="single"/>
        </w:rPr>
        <w:t>工程竣工验收合格后28天内，承包人必须将符合发包人要求的竣工结算书及相关资料上报给发包人，否则每延迟一天支付2000元作为违约金。</w:t>
      </w:r>
    </w:p>
    <w:p w14:paraId="748BFEDE">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16.2.3 因承包人违约解除合同</w:t>
      </w:r>
    </w:p>
    <w:p w14:paraId="0589A9C4">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关于承包人违约解除合同的特别约定：</w:t>
      </w:r>
      <w:r>
        <w:rPr>
          <w:rFonts w:hint="eastAsia" w:ascii="仿宋" w:hAnsi="仿宋" w:eastAsia="仿宋" w:cs="仿宋"/>
          <w:color w:val="auto"/>
          <w:kern w:val="0"/>
          <w:sz w:val="21"/>
          <w:szCs w:val="21"/>
          <w:highlight w:val="none"/>
          <w:u w:val="single"/>
          <w:lang w:val="en-US" w:eastAsia="zh-CN"/>
        </w:rPr>
        <w:t xml:space="preserve"> 除通用合同条款规定外，承包人还应承担由此给发包人造成的一切经济损失，直至追究法律责任</w:t>
      </w:r>
      <w:r>
        <w:rPr>
          <w:rFonts w:hint="eastAsia" w:ascii="仿宋" w:hAnsi="仿宋" w:eastAsia="仿宋" w:cs="仿宋"/>
          <w:color w:val="auto"/>
          <w:kern w:val="0"/>
          <w:sz w:val="21"/>
          <w:szCs w:val="21"/>
          <w:highlight w:val="none"/>
          <w:u w:val="single"/>
        </w:rPr>
        <w:t>。</w:t>
      </w:r>
    </w:p>
    <w:p w14:paraId="20BEEDB6">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发包人继续使用承包人在施工现场的材料、设备、临时工程、承包人文件和由承包人或以其名义编制的其他文件的费用承担方式：</w:t>
      </w:r>
      <w:r>
        <w:rPr>
          <w:rFonts w:hint="eastAsia" w:ascii="仿宋" w:hAnsi="仿宋" w:eastAsia="仿宋" w:cs="仿宋"/>
          <w:color w:val="auto"/>
          <w:kern w:val="0"/>
          <w:sz w:val="21"/>
          <w:szCs w:val="21"/>
          <w:highlight w:val="none"/>
          <w:u w:val="single"/>
        </w:rPr>
        <w:t>双方另行协商。</w:t>
      </w:r>
    </w:p>
    <w:p w14:paraId="43A06D17">
      <w:pPr>
        <w:pageBreakBefore w:val="0"/>
        <w:shd w:val="clear"/>
        <w:bidi w:val="0"/>
        <w:adjustRightInd w:val="0"/>
        <w:snapToGrid w:val="0"/>
        <w:spacing w:beforeAutospacing="0" w:afterAutospacing="0" w:line="568" w:lineRule="exact"/>
        <w:ind w:firstLine="422" w:firstLineChars="200"/>
        <w:rPr>
          <w:rFonts w:ascii="仿宋" w:hAnsi="仿宋" w:eastAsia="仿宋" w:cs="仿宋"/>
          <w:color w:val="auto"/>
          <w:kern w:val="0"/>
          <w:sz w:val="21"/>
          <w:szCs w:val="21"/>
          <w:highlight w:val="none"/>
        </w:rPr>
      </w:pPr>
      <w:bookmarkStart w:id="85" w:name="_Toc37169032"/>
      <w:r>
        <w:rPr>
          <w:rFonts w:hint="eastAsia" w:ascii="仿宋" w:hAnsi="仿宋" w:eastAsia="仿宋" w:cs="仿宋"/>
          <w:b/>
          <w:bCs/>
          <w:color w:val="auto"/>
          <w:kern w:val="0"/>
          <w:sz w:val="21"/>
          <w:szCs w:val="21"/>
          <w:highlight w:val="none"/>
        </w:rPr>
        <w:t>17.不可抗力</w:t>
      </w:r>
      <w:bookmarkEnd w:id="85"/>
    </w:p>
    <w:p w14:paraId="39471E88">
      <w:pPr>
        <w:pageBreakBefore w:val="0"/>
        <w:shd w:val="clear"/>
        <w:bidi w:val="0"/>
        <w:adjustRightInd w:val="0"/>
        <w:snapToGrid w:val="0"/>
        <w:spacing w:beforeAutospacing="0" w:afterAutospacing="0" w:line="568" w:lineRule="exact"/>
        <w:ind w:firstLine="480"/>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17.1不可抗力的确认</w:t>
      </w:r>
    </w:p>
    <w:p w14:paraId="74BAC50F">
      <w:pPr>
        <w:pageBreakBefore w:val="0"/>
        <w:shd w:val="clear"/>
        <w:bidi w:val="0"/>
        <w:adjustRightInd w:val="0"/>
        <w:snapToGrid w:val="0"/>
        <w:spacing w:beforeAutospacing="0" w:afterAutospacing="0" w:line="568" w:lineRule="exact"/>
        <w:ind w:firstLine="480"/>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除通用合同条款约定的不可抗力事件之外，视为不可抗力的其他情形：</w:t>
      </w:r>
      <w:r>
        <w:rPr>
          <w:rFonts w:hint="eastAsia" w:ascii="仿宋" w:hAnsi="仿宋" w:eastAsia="仿宋" w:cs="仿宋"/>
          <w:color w:val="auto"/>
          <w:kern w:val="0"/>
          <w:sz w:val="21"/>
          <w:szCs w:val="21"/>
          <w:highlight w:val="none"/>
          <w:u w:val="single"/>
          <w:lang w:eastAsia="zh-CN"/>
        </w:rPr>
        <w:t>无</w:t>
      </w:r>
      <w:r>
        <w:rPr>
          <w:rFonts w:hint="eastAsia" w:ascii="仿宋" w:hAnsi="仿宋" w:eastAsia="仿宋" w:cs="仿宋"/>
          <w:color w:val="auto"/>
          <w:kern w:val="0"/>
          <w:sz w:val="21"/>
          <w:szCs w:val="21"/>
          <w:highlight w:val="none"/>
          <w:u w:val="single"/>
        </w:rPr>
        <w:t>。</w:t>
      </w:r>
    </w:p>
    <w:p w14:paraId="31709B55">
      <w:pPr>
        <w:pageBreakBefore w:val="0"/>
        <w:shd w:val="clear"/>
        <w:bidi w:val="0"/>
        <w:adjustRightInd w:val="0"/>
        <w:snapToGrid w:val="0"/>
        <w:spacing w:beforeAutospacing="0" w:afterAutospacing="0" w:line="568" w:lineRule="exact"/>
        <w:ind w:firstLine="480"/>
        <w:rPr>
          <w:rFonts w:hint="eastAsia" w:ascii="仿宋" w:hAnsi="仿宋" w:eastAsia="仿宋" w:cs="仿宋"/>
          <w:b/>
          <w:bCs/>
          <w:color w:val="auto"/>
          <w:kern w:val="0"/>
          <w:sz w:val="21"/>
          <w:szCs w:val="21"/>
          <w:highlight w:val="none"/>
        </w:rPr>
      </w:pPr>
      <w:bookmarkStart w:id="86" w:name="_Toc18990"/>
      <w:bookmarkStart w:id="87" w:name="_Toc8690"/>
      <w:bookmarkStart w:id="88" w:name="_Toc12915_WPSOffice_Level3"/>
      <w:r>
        <w:rPr>
          <w:rFonts w:hint="eastAsia" w:ascii="仿宋" w:hAnsi="仿宋" w:eastAsia="仿宋" w:cs="仿宋"/>
          <w:b/>
          <w:bCs/>
          <w:color w:val="auto"/>
          <w:kern w:val="0"/>
          <w:sz w:val="21"/>
          <w:szCs w:val="21"/>
          <w:highlight w:val="none"/>
        </w:rPr>
        <w:t>17.4 因不可抗力解除合同</w:t>
      </w:r>
      <w:bookmarkEnd w:id="86"/>
      <w:bookmarkEnd w:id="87"/>
      <w:bookmarkEnd w:id="88"/>
    </w:p>
    <w:p w14:paraId="7D7425CE">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合同解除后，发包人应在商定或确定发包人应支付款项后</w:t>
      </w:r>
      <w:r>
        <w:rPr>
          <w:rFonts w:hint="eastAsia" w:ascii="仿宋" w:hAnsi="仿宋" w:eastAsia="仿宋" w:cs="仿宋"/>
          <w:color w:val="auto"/>
          <w:sz w:val="21"/>
          <w:szCs w:val="21"/>
          <w:highlight w:val="none"/>
          <w:u w:val="single"/>
          <w:lang w:val="en-US" w:eastAsia="zh-CN"/>
        </w:rPr>
        <w:t>30</w:t>
      </w:r>
      <w:r>
        <w:rPr>
          <w:rFonts w:hint="eastAsia" w:ascii="仿宋" w:hAnsi="仿宋" w:eastAsia="仿宋" w:cs="仿宋"/>
          <w:color w:val="auto"/>
          <w:sz w:val="21"/>
          <w:szCs w:val="21"/>
          <w:highlight w:val="none"/>
          <w:u w:val="single"/>
        </w:rPr>
        <w:t>天内</w:t>
      </w:r>
      <w:r>
        <w:rPr>
          <w:rFonts w:hint="eastAsia" w:ascii="仿宋" w:hAnsi="仿宋" w:eastAsia="仿宋" w:cs="仿宋"/>
          <w:color w:val="auto"/>
          <w:sz w:val="21"/>
          <w:szCs w:val="21"/>
          <w:highlight w:val="none"/>
        </w:rPr>
        <w:t>完成款项的支付。</w:t>
      </w:r>
      <w:bookmarkStart w:id="89" w:name="_Toc37169033"/>
    </w:p>
    <w:p w14:paraId="7377900A">
      <w:pPr>
        <w:pageBreakBefore w:val="0"/>
        <w:shd w:val="clear"/>
        <w:bidi w:val="0"/>
        <w:adjustRightInd w:val="0"/>
        <w:snapToGrid w:val="0"/>
        <w:spacing w:beforeAutospacing="0" w:afterAutospacing="0" w:line="568" w:lineRule="exact"/>
        <w:ind w:firstLine="422" w:firstLineChars="200"/>
        <w:jc w:val="left"/>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18.保险</w:t>
      </w:r>
      <w:bookmarkEnd w:id="89"/>
    </w:p>
    <w:p w14:paraId="1917F9D4">
      <w:pPr>
        <w:pageBreakBefore w:val="0"/>
        <w:shd w:val="clear"/>
        <w:bidi w:val="0"/>
        <w:adjustRightInd w:val="0"/>
        <w:snapToGrid w:val="0"/>
        <w:spacing w:beforeAutospacing="0" w:afterAutospacing="0" w:line="568" w:lineRule="exact"/>
        <w:ind w:firstLine="422" w:firstLineChars="200"/>
        <w:jc w:val="left"/>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18.1工程保险</w:t>
      </w:r>
    </w:p>
    <w:p w14:paraId="17E6CADB">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u w:val="single"/>
        </w:rPr>
      </w:pPr>
      <w:r>
        <w:rPr>
          <w:rFonts w:hint="eastAsia" w:ascii="仿宋" w:hAnsi="仿宋" w:eastAsia="仿宋" w:cs="仿宋"/>
          <w:color w:val="auto"/>
          <w:sz w:val="21"/>
          <w:szCs w:val="21"/>
          <w:highlight w:val="none"/>
        </w:rPr>
        <w:t>关于工程保险的特别约定：</w:t>
      </w:r>
      <w:r>
        <w:rPr>
          <w:rFonts w:hint="eastAsia" w:ascii="仿宋" w:hAnsi="仿宋" w:eastAsia="仿宋" w:cs="仿宋"/>
          <w:color w:val="auto"/>
          <w:sz w:val="21"/>
          <w:szCs w:val="21"/>
          <w:highlight w:val="none"/>
          <w:u w:val="single"/>
        </w:rPr>
        <w:t>工程相关保险由承包人自理，费用已含在合同总价内</w:t>
      </w:r>
      <w:r>
        <w:rPr>
          <w:rFonts w:hint="eastAsia" w:ascii="仿宋" w:hAnsi="仿宋" w:eastAsia="仿宋" w:cs="仿宋"/>
          <w:color w:val="auto"/>
          <w:kern w:val="0"/>
          <w:sz w:val="21"/>
          <w:szCs w:val="21"/>
          <w:highlight w:val="none"/>
          <w:u w:val="single"/>
        </w:rPr>
        <w:t>。</w:t>
      </w:r>
    </w:p>
    <w:p w14:paraId="50FB9AB2">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kern w:val="0"/>
          <w:sz w:val="21"/>
          <w:szCs w:val="21"/>
          <w:highlight w:val="none"/>
          <w:u w:val="single"/>
        </w:rPr>
      </w:pPr>
      <w:r>
        <w:rPr>
          <w:rFonts w:hint="eastAsia" w:ascii="仿宋" w:hAnsi="仿宋" w:eastAsia="仿宋" w:cs="仿宋"/>
          <w:color w:val="auto"/>
          <w:kern w:val="0"/>
          <w:sz w:val="21"/>
          <w:szCs w:val="21"/>
          <w:highlight w:val="none"/>
          <w:u w:val="none"/>
        </w:rPr>
        <w:t>关于其他保险的约定：</w:t>
      </w:r>
      <w:r>
        <w:rPr>
          <w:rFonts w:hint="eastAsia" w:ascii="仿宋" w:hAnsi="仿宋" w:eastAsia="仿宋" w:cs="仿宋"/>
          <w:color w:val="auto"/>
          <w:kern w:val="0"/>
          <w:sz w:val="21"/>
          <w:szCs w:val="21"/>
          <w:highlight w:val="none"/>
          <w:u w:val="single"/>
        </w:rPr>
        <w:t xml:space="preserve">  /  。</w:t>
      </w:r>
    </w:p>
    <w:p w14:paraId="1C9D0A88">
      <w:pPr>
        <w:pageBreakBefore w:val="0"/>
        <w:shd w:val="clear"/>
        <w:bidi w:val="0"/>
        <w:adjustRightInd w:val="0"/>
        <w:snapToGrid w:val="0"/>
        <w:spacing w:beforeAutospacing="0" w:afterAutospacing="0" w:line="568" w:lineRule="exact"/>
        <w:ind w:firstLine="422" w:firstLineChars="200"/>
        <w:jc w:val="left"/>
        <w:rPr>
          <w:rFonts w:hint="eastAsia" w:ascii="仿宋" w:hAnsi="仿宋" w:eastAsia="仿宋" w:cs="仿宋"/>
          <w:b/>
          <w:bCs/>
          <w:color w:val="auto"/>
          <w:kern w:val="0"/>
          <w:sz w:val="21"/>
          <w:szCs w:val="21"/>
          <w:highlight w:val="none"/>
          <w:u w:val="none"/>
        </w:rPr>
      </w:pPr>
      <w:r>
        <w:rPr>
          <w:rFonts w:hint="eastAsia" w:ascii="仿宋" w:hAnsi="仿宋" w:eastAsia="仿宋" w:cs="仿宋"/>
          <w:b/>
          <w:bCs/>
          <w:color w:val="auto"/>
          <w:kern w:val="0"/>
          <w:sz w:val="21"/>
          <w:szCs w:val="21"/>
          <w:highlight w:val="none"/>
          <w:u w:val="none"/>
        </w:rPr>
        <w:t>18.3安全生产责任保险</w:t>
      </w:r>
    </w:p>
    <w:p w14:paraId="1C78A2CD">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b w:val="0"/>
          <w:bCs w:val="0"/>
          <w:color w:val="auto"/>
          <w:kern w:val="0"/>
          <w:sz w:val="21"/>
          <w:szCs w:val="21"/>
          <w:highlight w:val="none"/>
          <w:u w:val="single"/>
        </w:rPr>
      </w:pPr>
      <w:r>
        <w:rPr>
          <w:rFonts w:hint="eastAsia" w:ascii="仿宋" w:hAnsi="仿宋" w:eastAsia="仿宋" w:cs="仿宋"/>
          <w:b w:val="0"/>
          <w:bCs w:val="0"/>
          <w:color w:val="auto"/>
          <w:kern w:val="0"/>
          <w:sz w:val="21"/>
          <w:szCs w:val="21"/>
          <w:highlight w:val="none"/>
          <w:u w:val="none"/>
        </w:rPr>
        <w:t>关于安全生产责任保险的约定：</w:t>
      </w:r>
      <w:r>
        <w:rPr>
          <w:rFonts w:hint="eastAsia" w:ascii="仿宋" w:hAnsi="仿宋" w:eastAsia="仿宋" w:cs="仿宋"/>
          <w:b w:val="0"/>
          <w:bCs w:val="0"/>
          <w:color w:val="auto"/>
          <w:kern w:val="0"/>
          <w:sz w:val="21"/>
          <w:szCs w:val="21"/>
          <w:highlight w:val="none"/>
          <w:u w:val="single"/>
        </w:rPr>
        <w:t>按合同通用条款执行。</w:t>
      </w:r>
    </w:p>
    <w:p w14:paraId="48D8045A">
      <w:pPr>
        <w:pageBreakBefore w:val="0"/>
        <w:shd w:val="clear"/>
        <w:bidi w:val="0"/>
        <w:adjustRightInd w:val="0"/>
        <w:snapToGrid w:val="0"/>
        <w:spacing w:beforeAutospacing="0" w:afterAutospacing="0" w:line="568" w:lineRule="exact"/>
        <w:ind w:firstLine="422" w:firstLineChars="200"/>
        <w:jc w:val="left"/>
        <w:rPr>
          <w:rFonts w:hint="eastAsia" w:ascii="仿宋" w:hAnsi="仿宋" w:eastAsia="仿宋" w:cs="仿宋"/>
          <w:b/>
          <w:bCs/>
          <w:color w:val="auto"/>
          <w:kern w:val="0"/>
          <w:sz w:val="21"/>
          <w:szCs w:val="21"/>
          <w:highlight w:val="none"/>
          <w:u w:val="none"/>
        </w:rPr>
      </w:pPr>
      <w:r>
        <w:rPr>
          <w:rFonts w:hint="eastAsia" w:ascii="仿宋" w:hAnsi="仿宋" w:eastAsia="仿宋" w:cs="仿宋"/>
          <w:b/>
          <w:bCs/>
          <w:color w:val="auto"/>
          <w:kern w:val="0"/>
          <w:sz w:val="21"/>
          <w:szCs w:val="21"/>
          <w:highlight w:val="none"/>
          <w:u w:val="none"/>
        </w:rPr>
        <w:t>18.7 通知义务</w:t>
      </w:r>
    </w:p>
    <w:p w14:paraId="5F2C2727">
      <w:pPr>
        <w:pageBreakBefore w:val="0"/>
        <w:shd w:val="clear"/>
        <w:bidi w:val="0"/>
        <w:adjustRightInd w:val="0"/>
        <w:snapToGrid w:val="0"/>
        <w:spacing w:beforeAutospacing="0" w:afterAutospacing="0" w:line="568" w:lineRule="exact"/>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u w:val="none"/>
        </w:rPr>
        <w:t>关于变更保险合同时的通知义务的约定：</w:t>
      </w:r>
      <w:r>
        <w:rPr>
          <w:rFonts w:hint="eastAsia" w:ascii="仿宋" w:hAnsi="仿宋" w:eastAsia="仿宋" w:cs="仿宋"/>
          <w:color w:val="auto"/>
          <w:kern w:val="0"/>
          <w:sz w:val="21"/>
          <w:szCs w:val="21"/>
          <w:highlight w:val="none"/>
          <w:u w:val="single"/>
        </w:rPr>
        <w:t>按合同通用条款执行。</w:t>
      </w:r>
    </w:p>
    <w:p w14:paraId="0E3B672C">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422" w:firstLineChars="200"/>
        <w:rPr>
          <w:rFonts w:hint="eastAsia" w:ascii="仿宋" w:hAnsi="仿宋" w:eastAsia="仿宋" w:cs="仿宋"/>
          <w:color w:val="auto"/>
          <w:kern w:val="0"/>
          <w:sz w:val="21"/>
          <w:szCs w:val="21"/>
          <w:highlight w:val="none"/>
        </w:rPr>
      </w:pPr>
      <w:bookmarkStart w:id="90" w:name="_Toc37169035"/>
      <w:r>
        <w:rPr>
          <w:rFonts w:hint="eastAsia" w:ascii="仿宋" w:hAnsi="仿宋" w:eastAsia="仿宋" w:cs="仿宋"/>
          <w:color w:val="auto"/>
          <w:kern w:val="0"/>
          <w:sz w:val="21"/>
          <w:szCs w:val="21"/>
          <w:highlight w:val="none"/>
        </w:rPr>
        <w:t>20.争议解决</w:t>
      </w:r>
      <w:bookmarkEnd w:id="90"/>
    </w:p>
    <w:p w14:paraId="6E8448D2">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422" w:firstLineChars="200"/>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20.3 争议评审</w:t>
      </w:r>
    </w:p>
    <w:p w14:paraId="4CC15EA7">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420" w:firstLineChars="200"/>
        <w:rPr>
          <w:rFonts w:hint="eastAsia" w:ascii="仿宋" w:hAnsi="仿宋" w:eastAsia="仿宋" w:cs="仿宋"/>
          <w:b w:val="0"/>
          <w:bCs w:val="0"/>
          <w:color w:val="auto"/>
          <w:kern w:val="0"/>
          <w:sz w:val="21"/>
          <w:szCs w:val="21"/>
          <w:highlight w:val="none"/>
        </w:rPr>
      </w:pPr>
      <w:r>
        <w:rPr>
          <w:rFonts w:hint="eastAsia" w:ascii="仿宋" w:hAnsi="仿宋" w:eastAsia="仿宋" w:cs="仿宋"/>
          <w:b w:val="0"/>
          <w:bCs w:val="0"/>
          <w:color w:val="auto"/>
          <w:kern w:val="0"/>
          <w:sz w:val="21"/>
          <w:szCs w:val="21"/>
          <w:highlight w:val="none"/>
        </w:rPr>
        <w:t>合同当事人是否同意将工程争议提交争议评审小组决定：</w:t>
      </w:r>
      <w:r>
        <w:rPr>
          <w:rFonts w:hint="eastAsia" w:ascii="仿宋" w:hAnsi="仿宋" w:eastAsia="仿宋" w:cs="仿宋"/>
          <w:b w:val="0"/>
          <w:bCs w:val="0"/>
          <w:color w:val="auto"/>
          <w:kern w:val="0"/>
          <w:sz w:val="21"/>
          <w:szCs w:val="21"/>
          <w:highlight w:val="none"/>
          <w:u w:val="single"/>
          <w:lang w:val="en-US" w:eastAsia="zh-CN"/>
        </w:rPr>
        <w:t>否</w:t>
      </w:r>
      <w:r>
        <w:rPr>
          <w:rFonts w:hint="eastAsia" w:ascii="仿宋" w:hAnsi="仿宋" w:eastAsia="仿宋" w:cs="仿宋"/>
          <w:b w:val="0"/>
          <w:bCs w:val="0"/>
          <w:color w:val="auto"/>
          <w:kern w:val="0"/>
          <w:sz w:val="21"/>
          <w:szCs w:val="21"/>
          <w:highlight w:val="none"/>
          <w:u w:val="single"/>
        </w:rPr>
        <w:t>。</w:t>
      </w:r>
    </w:p>
    <w:p w14:paraId="784124A9">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422" w:firstLineChars="200"/>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20.4 仲裁或诉讼</w:t>
      </w:r>
    </w:p>
    <w:p w14:paraId="4B8A2D3D">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420" w:firstLineChars="200"/>
        <w:rPr>
          <w:rFonts w:hint="eastAsia" w:ascii="仿宋" w:hAnsi="仿宋" w:eastAsia="仿宋" w:cs="仿宋"/>
          <w:b w:val="0"/>
          <w:bCs w:val="0"/>
          <w:color w:val="auto"/>
          <w:kern w:val="0"/>
          <w:sz w:val="21"/>
          <w:szCs w:val="21"/>
          <w:highlight w:val="none"/>
        </w:rPr>
      </w:pPr>
      <w:r>
        <w:rPr>
          <w:rFonts w:hint="eastAsia" w:ascii="仿宋" w:hAnsi="仿宋" w:eastAsia="仿宋" w:cs="仿宋"/>
          <w:b w:val="0"/>
          <w:bCs w:val="0"/>
          <w:color w:val="auto"/>
          <w:kern w:val="0"/>
          <w:sz w:val="21"/>
          <w:szCs w:val="21"/>
          <w:highlight w:val="none"/>
        </w:rPr>
        <w:t>因合同及合同有关事项发生的争议，按下列第</w:t>
      </w:r>
      <w:r>
        <w:rPr>
          <w:rFonts w:hint="eastAsia" w:ascii="仿宋" w:hAnsi="仿宋" w:eastAsia="仿宋" w:cs="仿宋"/>
          <w:b w:val="0"/>
          <w:bCs w:val="0"/>
          <w:color w:val="auto"/>
          <w:kern w:val="0"/>
          <w:sz w:val="21"/>
          <w:szCs w:val="21"/>
          <w:highlight w:val="none"/>
          <w:u w:val="single"/>
        </w:rPr>
        <w:t xml:space="preserve"> （2） </w:t>
      </w:r>
      <w:r>
        <w:rPr>
          <w:rFonts w:hint="eastAsia" w:ascii="仿宋" w:hAnsi="仿宋" w:eastAsia="仿宋" w:cs="仿宋"/>
          <w:b w:val="0"/>
          <w:bCs w:val="0"/>
          <w:color w:val="auto"/>
          <w:kern w:val="0"/>
          <w:sz w:val="21"/>
          <w:szCs w:val="21"/>
          <w:highlight w:val="none"/>
        </w:rPr>
        <w:t>种方式解决：</w:t>
      </w:r>
    </w:p>
    <w:p w14:paraId="461A8CE2">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420" w:firstLineChars="200"/>
        <w:rPr>
          <w:rFonts w:hint="eastAsia" w:ascii="仿宋" w:hAnsi="仿宋" w:eastAsia="仿宋" w:cs="仿宋"/>
          <w:b w:val="0"/>
          <w:bCs w:val="0"/>
          <w:color w:val="auto"/>
          <w:kern w:val="0"/>
          <w:sz w:val="21"/>
          <w:szCs w:val="21"/>
          <w:highlight w:val="none"/>
        </w:rPr>
      </w:pPr>
      <w:r>
        <w:rPr>
          <w:rFonts w:hint="eastAsia" w:ascii="仿宋" w:hAnsi="仿宋" w:eastAsia="仿宋" w:cs="仿宋"/>
          <w:b w:val="0"/>
          <w:bCs w:val="0"/>
          <w:color w:val="auto"/>
          <w:kern w:val="0"/>
          <w:sz w:val="21"/>
          <w:szCs w:val="21"/>
          <w:highlight w:val="none"/>
        </w:rPr>
        <w:t>（1）向长沙仲裁委员会（建设工程合同纠纷仲裁中心）申请仲裁；</w:t>
      </w:r>
    </w:p>
    <w:p w14:paraId="1DA61291">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420" w:firstLineChars="200"/>
        <w:rPr>
          <w:rFonts w:hint="eastAsia" w:ascii="仿宋" w:hAnsi="仿宋" w:eastAsia="仿宋" w:cs="仿宋"/>
          <w:b w:val="0"/>
          <w:bCs w:val="0"/>
          <w:color w:val="auto"/>
          <w:kern w:val="0"/>
          <w:sz w:val="21"/>
          <w:szCs w:val="21"/>
          <w:highlight w:val="none"/>
          <w:lang w:eastAsia="zh-CN"/>
        </w:rPr>
      </w:pPr>
      <w:r>
        <w:rPr>
          <w:rFonts w:hint="eastAsia" w:ascii="仿宋" w:hAnsi="仿宋" w:eastAsia="仿宋" w:cs="仿宋"/>
          <w:b w:val="0"/>
          <w:bCs w:val="0"/>
          <w:color w:val="auto"/>
          <w:kern w:val="0"/>
          <w:sz w:val="21"/>
          <w:szCs w:val="21"/>
          <w:highlight w:val="none"/>
        </w:rPr>
        <w:t>（2）向</w:t>
      </w:r>
      <w:r>
        <w:rPr>
          <w:rFonts w:hint="eastAsia" w:ascii="仿宋" w:hAnsi="仿宋" w:eastAsia="仿宋" w:cs="仿宋"/>
          <w:b w:val="0"/>
          <w:bCs w:val="0"/>
          <w:color w:val="auto"/>
          <w:kern w:val="0"/>
          <w:sz w:val="21"/>
          <w:szCs w:val="21"/>
          <w:highlight w:val="none"/>
          <w:u w:val="single"/>
          <w:lang w:eastAsia="zh-CN"/>
        </w:rPr>
        <w:t>工程所在地</w:t>
      </w:r>
      <w:r>
        <w:rPr>
          <w:rFonts w:hint="eastAsia" w:ascii="仿宋" w:hAnsi="仿宋" w:eastAsia="仿宋" w:cs="仿宋"/>
          <w:b w:val="0"/>
          <w:bCs w:val="0"/>
          <w:color w:val="auto"/>
          <w:kern w:val="0"/>
          <w:sz w:val="21"/>
          <w:szCs w:val="21"/>
          <w:highlight w:val="none"/>
          <w:u w:val="single"/>
        </w:rPr>
        <w:t>有管辖权的</w:t>
      </w:r>
      <w:r>
        <w:rPr>
          <w:rFonts w:hint="eastAsia" w:ascii="仿宋" w:hAnsi="仿宋" w:eastAsia="仿宋" w:cs="仿宋"/>
          <w:b w:val="0"/>
          <w:bCs w:val="0"/>
          <w:color w:val="auto"/>
          <w:kern w:val="0"/>
          <w:sz w:val="21"/>
          <w:szCs w:val="21"/>
          <w:highlight w:val="none"/>
        </w:rPr>
        <w:t>人民法院起诉。</w:t>
      </w:r>
    </w:p>
    <w:p w14:paraId="5266053E">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422" w:firstLineChars="200"/>
        <w:rPr>
          <w:rFonts w:hint="eastAsia" w:ascii="仿宋" w:hAnsi="仿宋" w:eastAsia="仿宋" w:cs="仿宋"/>
          <w:b/>
          <w:bCs/>
          <w:color w:val="auto"/>
          <w:kern w:val="0"/>
          <w:sz w:val="21"/>
          <w:szCs w:val="21"/>
          <w:highlight w:val="none"/>
          <w:lang w:val="en-US" w:eastAsia="zh-CN"/>
        </w:rPr>
      </w:pPr>
      <w:r>
        <w:rPr>
          <w:rFonts w:hint="eastAsia" w:ascii="仿宋" w:hAnsi="仿宋" w:eastAsia="仿宋" w:cs="仿宋"/>
          <w:b/>
          <w:bCs/>
          <w:color w:val="auto"/>
          <w:kern w:val="0"/>
          <w:sz w:val="21"/>
          <w:szCs w:val="21"/>
          <w:highlight w:val="none"/>
          <w:lang w:val="en-US" w:eastAsia="zh-CN"/>
        </w:rPr>
        <w:t>21.其他</w:t>
      </w:r>
    </w:p>
    <w:p w14:paraId="377E1DC4">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420" w:firstLineChars="200"/>
        <w:rPr>
          <w:rFonts w:hint="eastAsia" w:ascii="仿宋" w:hAnsi="仿宋" w:eastAsia="仿宋" w:cs="仿宋"/>
          <w:b w:val="0"/>
          <w:bCs w:val="0"/>
          <w:color w:val="auto"/>
          <w:kern w:val="0"/>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rPr>
        <w:t>21.1质量终身责任</w:t>
      </w:r>
    </w:p>
    <w:p w14:paraId="0458E725">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420" w:firstLineChars="200"/>
        <w:rPr>
          <w:rFonts w:hint="eastAsia" w:ascii="仿宋" w:hAnsi="仿宋" w:eastAsia="仿宋" w:cs="仿宋"/>
          <w:b w:val="0"/>
          <w:bCs w:val="0"/>
          <w:color w:val="auto"/>
          <w:kern w:val="0"/>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rPr>
        <w:t>根据国务院[2000]279号令、湖南省湘建建[2011]3号文、长政发[2009]42号文“长沙市人民政府关于印发《长沙市政府投资建设项目管理办法（试行）》的通知”、长政发[2009]44号文“长沙市人民政府关于印发《长沙市政府投资建设项目审计监督办法》的通知”、长政办函[2009]91号“长沙市人民政府办公厅关于加强政府性投资项目资金管理的通知”及“住房城乡建设部关于印发建质[2014]124号《建筑工程五方责任主体项目负责人质量终身责任追究暂行办法》的通知”等文件要求，承包人对该工程质量实行终身负责，必须提供本工程质量终身责任制承诺书。</w:t>
      </w:r>
    </w:p>
    <w:p w14:paraId="72809A46">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420" w:firstLineChars="200"/>
        <w:rPr>
          <w:rFonts w:hint="eastAsia" w:ascii="仿宋" w:hAnsi="仿宋" w:eastAsia="仿宋" w:cs="仿宋"/>
          <w:b w:val="0"/>
          <w:bCs w:val="0"/>
          <w:color w:val="auto"/>
          <w:kern w:val="0"/>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rPr>
        <w:t>（1）承担政府投资项目的参建单位及其从业人员在项目单位或相关方进行串通违规操作或造成项目质量低劣的，根据情节轻重，将其不良行为记录信用档案，在媒体上予以公布，或5年内不得承担其他政府投资项目的相关业务；造成经济损失的，依法承担赔偿责任；构成犯罪的，依法追究刑事责任。</w:t>
      </w:r>
    </w:p>
    <w:p w14:paraId="49427264">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420" w:firstLineChars="200"/>
        <w:rPr>
          <w:rFonts w:hint="eastAsia" w:ascii="仿宋" w:hAnsi="仿宋" w:eastAsia="仿宋" w:cs="仿宋"/>
          <w:b w:val="0"/>
          <w:bCs w:val="0"/>
          <w:color w:val="auto"/>
          <w:kern w:val="0"/>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rPr>
        <w:t>（2）政府投资项目发生重大质量或安全生产事故的，依法追究参建单位和直接责任人的法律责任，构成犯罪的，依法追究刑事责任。</w:t>
      </w:r>
    </w:p>
    <w:p w14:paraId="7F2AF9F1">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420" w:firstLineChars="200"/>
        <w:rPr>
          <w:rFonts w:hint="eastAsia" w:ascii="仿宋" w:hAnsi="仿宋" w:eastAsia="仿宋" w:cs="仿宋"/>
          <w:b w:val="0"/>
          <w:bCs w:val="0"/>
          <w:color w:val="auto"/>
          <w:kern w:val="0"/>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rPr>
        <w:t>（3）严格按规定配备施工项目部关键岗位人员，并确保所有人员到岗履职。</w:t>
      </w:r>
    </w:p>
    <w:p w14:paraId="7B421B0E">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420" w:firstLineChars="200"/>
        <w:rPr>
          <w:rFonts w:hint="eastAsia" w:ascii="仿宋" w:hAnsi="仿宋" w:eastAsia="仿宋" w:cs="仿宋"/>
          <w:b w:val="0"/>
          <w:bCs w:val="0"/>
          <w:color w:val="auto"/>
          <w:kern w:val="0"/>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rPr>
        <w:t>（4）未经建设单位同意，不将承包工程的任何部分随意分包。不将承包的全部工程转包或将承包的全部工程肢解后以分包的名义分别转包给他人。</w:t>
      </w:r>
    </w:p>
    <w:p w14:paraId="2EE2F847">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420" w:firstLineChars="200"/>
        <w:rPr>
          <w:rFonts w:hint="eastAsia" w:ascii="仿宋" w:hAnsi="仿宋" w:eastAsia="仿宋" w:cs="仿宋"/>
          <w:b w:val="0"/>
          <w:bCs w:val="0"/>
          <w:color w:val="auto"/>
          <w:kern w:val="0"/>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rPr>
        <w:t>（5）严格按照工程设计图纸以及施工技术标准和合同约定的质量标准精心组织施工，不擅自修改工程设计，不偷工减料。并对施工中采用的建筑材料、建筑构配件、设备和商品砼严格按规定进行见证取样检验，检验后应有书面记录，并有专人签字；未经检验或者 检验不合格的，不使用于工程。</w:t>
      </w:r>
    </w:p>
    <w:p w14:paraId="0E3938B4">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420" w:firstLineChars="200"/>
        <w:rPr>
          <w:rFonts w:hint="eastAsia" w:ascii="仿宋" w:hAnsi="仿宋" w:eastAsia="仿宋" w:cs="仿宋"/>
          <w:b w:val="0"/>
          <w:bCs w:val="0"/>
          <w:color w:val="auto"/>
          <w:kern w:val="0"/>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rPr>
        <w:t>（6）建立、健全质量的检查验收制度，严格工序管理，做好隐蔽工程的质量检查和记录。隐蔽工程在隐蔽前，及时通知建设、设计、监理单位和工程质量监督机构检查验收。资料收集真实、准确完整，签章手续齐全，并及时整理移交建设单位归档。</w:t>
      </w:r>
    </w:p>
    <w:p w14:paraId="59E9674F">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420" w:firstLineChars="200"/>
        <w:rPr>
          <w:rFonts w:hint="eastAsia" w:ascii="仿宋" w:hAnsi="仿宋" w:eastAsia="仿宋" w:cs="仿宋"/>
          <w:b w:val="0"/>
          <w:bCs w:val="0"/>
          <w:color w:val="auto"/>
          <w:kern w:val="0"/>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rPr>
        <w:t>（7）对施工中出现的质量问题或竣工验收不合格的工程，负责返修。向建设单位出具质量保修书，保修书中明确建设工程的保修范围、保修期限和保修责任等。建设工程在保修范围和期限内发生质量问题，严格依法依规履行保修义务，并对造成的损失承担赔偿责任。</w:t>
      </w:r>
    </w:p>
    <w:p w14:paraId="79419754">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420" w:firstLineChars="200"/>
        <w:rPr>
          <w:rFonts w:hint="eastAsia" w:ascii="仿宋" w:hAnsi="仿宋" w:eastAsia="仿宋" w:cs="仿宋"/>
          <w:b w:val="0"/>
          <w:bCs w:val="0"/>
          <w:color w:val="auto"/>
          <w:kern w:val="0"/>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rPr>
        <w:t>21.2补充条款</w:t>
      </w:r>
    </w:p>
    <w:p w14:paraId="11EEA87F">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420" w:firstLineChars="200"/>
        <w:rPr>
          <w:rFonts w:hint="eastAsia" w:ascii="仿宋" w:hAnsi="仿宋" w:eastAsia="仿宋" w:cs="仿宋"/>
          <w:b w:val="0"/>
          <w:bCs w:val="0"/>
          <w:color w:val="auto"/>
          <w:kern w:val="0"/>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rPr>
        <w:t>（1）承包人承诺按时足额支付农民工资、设备、材料供应商材料款，如有拖欠，发包人有权从工程款中代扣代付，同时承包人应向发包人支付等额的违约金。</w:t>
      </w:r>
    </w:p>
    <w:p w14:paraId="72D46328">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420" w:firstLineChars="200"/>
        <w:rPr>
          <w:rFonts w:hint="eastAsia" w:ascii="仿宋" w:hAnsi="仿宋" w:eastAsia="仿宋" w:cs="仿宋"/>
          <w:b w:val="0"/>
          <w:bCs w:val="0"/>
          <w:color w:val="auto"/>
          <w:kern w:val="0"/>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rPr>
        <w:t>（2）承包人应当与员工完善劳动关系，专业施工人员执证上岗，做到安全、文明施工，并为员工购买意外伤害保险。若发生劳动关系纠纷及安全事故造成财务损失、人员伤亡、第三方损失等法律纠纷，其责任全部由承包人承担。</w:t>
      </w:r>
    </w:p>
    <w:p w14:paraId="1149E825">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420" w:firstLineChars="200"/>
        <w:rPr>
          <w:rFonts w:hint="eastAsia" w:ascii="仿宋" w:hAnsi="仿宋" w:eastAsia="仿宋" w:cs="仿宋"/>
          <w:b w:val="0"/>
          <w:bCs w:val="0"/>
          <w:color w:val="auto"/>
          <w:kern w:val="0"/>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rPr>
        <w:t>（3）在现场工作的乙方人员，应遵守甲方的安全保卫及其他有关的规章制度，乙方人员在工作中造成己方人身伤害或者经济损失的，其责任由乙方承担并处理；造成甲方或第三方人身伤害或者经济损失的，其责任由乙方承担并处理。乙方应承担起有关资料保密义务。</w:t>
      </w:r>
    </w:p>
    <w:p w14:paraId="14AFC95D">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rPr>
          <w:rFonts w:hint="eastAsia" w:ascii="仿宋" w:hAnsi="仿宋" w:eastAsia="仿宋" w:cs="仿宋"/>
          <w:b w:val="0"/>
          <w:bCs w:val="0"/>
          <w:color w:val="auto"/>
          <w:kern w:val="0"/>
          <w:sz w:val="21"/>
          <w:szCs w:val="21"/>
          <w:highlight w:val="none"/>
          <w:lang w:val="en-US" w:eastAsia="zh-CN"/>
        </w:rPr>
      </w:pPr>
      <w:r>
        <w:rPr>
          <w:rFonts w:hint="eastAsia" w:ascii="仿宋" w:hAnsi="仿宋" w:eastAsia="仿宋" w:cs="仿宋"/>
          <w:b/>
          <w:bCs/>
          <w:color w:val="auto"/>
          <w:kern w:val="0"/>
          <w:sz w:val="21"/>
          <w:szCs w:val="21"/>
          <w:highlight w:val="none"/>
          <w:lang w:val="en-US" w:eastAsia="zh-CN"/>
        </w:rPr>
        <w:t>附件</w:t>
      </w:r>
      <w:r>
        <w:rPr>
          <w:rFonts w:hint="eastAsia" w:ascii="仿宋" w:hAnsi="仿宋" w:eastAsia="仿宋" w:cs="仿宋"/>
          <w:b w:val="0"/>
          <w:bCs w:val="0"/>
          <w:color w:val="auto"/>
          <w:kern w:val="0"/>
          <w:sz w:val="21"/>
          <w:szCs w:val="21"/>
          <w:highlight w:val="none"/>
          <w:lang w:val="en-US" w:eastAsia="zh-CN"/>
        </w:rPr>
        <w:t>：1.《工程质量保修书》</w:t>
      </w:r>
    </w:p>
    <w:p w14:paraId="4551BA8B">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630" w:firstLineChars="300"/>
        <w:rPr>
          <w:rFonts w:hint="eastAsia" w:ascii="仿宋" w:hAnsi="仿宋" w:eastAsia="仿宋" w:cs="仿宋"/>
          <w:b w:val="0"/>
          <w:bCs w:val="0"/>
          <w:color w:val="auto"/>
          <w:kern w:val="0"/>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rPr>
        <w:t>2.《廉政合同》</w:t>
      </w:r>
    </w:p>
    <w:p w14:paraId="5F458B8C">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630" w:firstLineChars="300"/>
        <w:rPr>
          <w:rFonts w:hint="eastAsia" w:ascii="仿宋" w:hAnsi="仿宋" w:eastAsia="仿宋" w:cs="仿宋"/>
          <w:b w:val="0"/>
          <w:bCs w:val="0"/>
          <w:color w:val="auto"/>
          <w:kern w:val="0"/>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rPr>
        <w:t>3.《施工单位工程质量终身责任制承诺书》</w:t>
      </w:r>
    </w:p>
    <w:p w14:paraId="4A430930">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630" w:firstLineChars="300"/>
        <w:rPr>
          <w:rFonts w:hint="eastAsia" w:ascii="仿宋" w:hAnsi="仿宋" w:eastAsia="仿宋" w:cs="仿宋"/>
          <w:b w:val="0"/>
          <w:bCs w:val="0"/>
          <w:color w:val="auto"/>
          <w:kern w:val="0"/>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rPr>
        <w:t>4.《施工单位项目经理工程质量终身责任承诺书》</w:t>
      </w:r>
    </w:p>
    <w:p w14:paraId="3BC0AAB1">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630" w:firstLineChars="300"/>
        <w:rPr>
          <w:rFonts w:hint="eastAsia" w:ascii="仿宋" w:hAnsi="仿宋" w:eastAsia="仿宋" w:cs="仿宋"/>
          <w:b w:val="0"/>
          <w:bCs w:val="0"/>
          <w:color w:val="auto"/>
          <w:kern w:val="0"/>
          <w:sz w:val="21"/>
          <w:szCs w:val="21"/>
          <w:highlight w:val="none"/>
          <w:lang w:val="en-US" w:eastAsia="zh-CN"/>
        </w:rPr>
      </w:pPr>
      <w:r>
        <w:rPr>
          <w:rFonts w:hint="eastAsia" w:ascii="仿宋" w:hAnsi="仿宋" w:eastAsia="仿宋" w:cs="仿宋"/>
          <w:b w:val="0"/>
          <w:bCs w:val="0"/>
          <w:color w:val="auto"/>
          <w:kern w:val="0"/>
          <w:sz w:val="21"/>
          <w:szCs w:val="21"/>
          <w:highlight w:val="none"/>
          <w:lang w:val="en-US" w:eastAsia="zh-CN"/>
        </w:rPr>
        <w:t>5.《法定代表人授权书》</w:t>
      </w:r>
    </w:p>
    <w:p w14:paraId="0D788AD2">
      <w:pPr>
        <w:pStyle w:val="9"/>
        <w:keepNext w:val="0"/>
        <w:keepLines w:val="0"/>
        <w:pageBreakBefore w:val="0"/>
        <w:shd w:val="clear"/>
        <w:kinsoku w:val="0"/>
        <w:topLinePunct/>
        <w:autoSpaceDE w:val="0"/>
        <w:autoSpaceDN w:val="0"/>
        <w:bidi w:val="0"/>
        <w:adjustRightInd w:val="0"/>
        <w:snapToGrid w:val="0"/>
        <w:spacing w:beforeAutospacing="0" w:afterAutospacing="0" w:line="568" w:lineRule="exact"/>
        <w:ind w:firstLine="630" w:firstLineChars="300"/>
        <w:rPr>
          <w:rFonts w:hint="eastAsia" w:ascii="仿宋" w:hAnsi="仿宋" w:eastAsia="仿宋" w:cs="仿宋"/>
          <w:b/>
          <w:bCs/>
          <w:color w:val="auto"/>
          <w:sz w:val="21"/>
          <w:szCs w:val="21"/>
          <w:highlight w:val="none"/>
        </w:rPr>
      </w:pPr>
      <w:r>
        <w:rPr>
          <w:rFonts w:hint="eastAsia" w:ascii="仿宋" w:hAnsi="仿宋" w:eastAsia="仿宋" w:cs="仿宋"/>
          <w:b w:val="0"/>
          <w:bCs w:val="0"/>
          <w:color w:val="auto"/>
          <w:kern w:val="0"/>
          <w:sz w:val="21"/>
          <w:szCs w:val="21"/>
          <w:highlight w:val="none"/>
          <w:lang w:val="en-US" w:eastAsia="zh-CN"/>
        </w:rPr>
        <w:t>6.《安全生产责任书》</w:t>
      </w:r>
      <w:r>
        <w:rPr>
          <w:rFonts w:hint="eastAsia" w:ascii="仿宋" w:hAnsi="仿宋" w:eastAsia="仿宋" w:cs="仿宋"/>
          <w:b w:val="0"/>
          <w:bCs w:val="0"/>
          <w:color w:val="auto"/>
          <w:kern w:val="0"/>
          <w:sz w:val="21"/>
          <w:szCs w:val="21"/>
          <w:highlight w:val="none"/>
        </w:rPr>
        <w:br w:type="page"/>
      </w:r>
    </w:p>
    <w:p w14:paraId="19F43001">
      <w:pPr>
        <w:pageBreakBefore w:val="0"/>
        <w:shd w:val="clear"/>
        <w:bidi w:val="0"/>
        <w:adjustRightInd w:val="0"/>
        <w:snapToGrid w:val="0"/>
        <w:spacing w:beforeAutospacing="0" w:afterAutospacing="0" w:line="568" w:lineRule="exac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附件1</w:t>
      </w:r>
    </w:p>
    <w:p w14:paraId="2C9BD604">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568" w:lineRule="exact"/>
        <w:jc w:val="center"/>
        <w:textAlignment w:val="auto"/>
        <w:rPr>
          <w:rFonts w:hint="eastAsia" w:ascii="仿宋" w:hAnsi="仿宋" w:eastAsia="仿宋" w:cs="仿宋"/>
          <w:color w:val="auto"/>
          <w:sz w:val="24"/>
          <w:highlight w:val="none"/>
        </w:rPr>
      </w:pPr>
      <w:r>
        <w:rPr>
          <w:rFonts w:hint="eastAsia" w:ascii="仿宋" w:hAnsi="仿宋" w:eastAsia="仿宋" w:cs="仿宋"/>
          <w:b/>
          <w:color w:val="auto"/>
          <w:sz w:val="36"/>
          <w:szCs w:val="36"/>
          <w:highlight w:val="none"/>
        </w:rPr>
        <w:t>工程质量保修书</w:t>
      </w:r>
    </w:p>
    <w:p w14:paraId="12EC59E8">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568" w:lineRule="exac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 xml:space="preserve">发包人（全称）： </w:t>
      </w:r>
      <w:r>
        <w:rPr>
          <w:rFonts w:hint="eastAsia" w:ascii="仿宋" w:hAnsi="仿宋" w:eastAsia="仿宋" w:cs="仿宋"/>
          <w:color w:val="auto"/>
          <w:sz w:val="24"/>
          <w:highlight w:val="none"/>
          <w:lang w:eastAsia="zh-CN"/>
        </w:rPr>
        <w:t>长沙芙蓉新城置业有限公司</w:t>
      </w:r>
    </w:p>
    <w:p w14:paraId="39AE926E">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568" w:lineRule="exact"/>
        <w:textAlignment w:val="auto"/>
        <w:rPr>
          <w:rFonts w:hint="default" w:ascii="仿宋" w:hAnsi="仿宋" w:eastAsia="仿宋" w:cs="仿宋"/>
          <w:color w:val="auto"/>
          <w:highlight w:val="none"/>
          <w:lang w:val="en-US" w:eastAsia="zh-CN"/>
        </w:rPr>
      </w:pPr>
      <w:r>
        <w:rPr>
          <w:rFonts w:hint="eastAsia" w:ascii="仿宋" w:hAnsi="仿宋" w:eastAsia="仿宋" w:cs="仿宋"/>
          <w:color w:val="auto"/>
          <w:sz w:val="24"/>
          <w:highlight w:val="none"/>
        </w:rPr>
        <w:t xml:space="preserve">承包人（全称）： </w:t>
      </w:r>
      <w:r>
        <w:rPr>
          <w:rFonts w:hint="eastAsia" w:ascii="仿宋" w:hAnsi="仿宋" w:eastAsia="仿宋" w:cs="仿宋"/>
          <w:color w:val="auto"/>
          <w:sz w:val="24"/>
          <w:highlight w:val="none"/>
          <w:lang w:val="en-US" w:eastAsia="zh-CN"/>
        </w:rPr>
        <w:t xml:space="preserve"> </w:t>
      </w:r>
    </w:p>
    <w:p w14:paraId="2B393F4C">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为保证</w:t>
      </w:r>
      <w:r>
        <w:rPr>
          <w:rFonts w:hint="eastAsia" w:ascii="仿宋" w:hAnsi="仿宋" w:eastAsia="仿宋" w:cs="仿宋"/>
          <w:color w:val="auto"/>
          <w:sz w:val="24"/>
          <w:highlight w:val="none"/>
          <w:u w:val="single"/>
          <w:lang w:eastAsia="zh-CN"/>
        </w:rPr>
        <w:t>芙蓉生态新城六号安置小区（一期）外墙防水工程项目</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在合理使用期限内正常使用，发包人承包人协商一致签订工程质量保修书。承包人在质量保修期内按照有关管理规定及双方约定承担工程质量保修责任。</w:t>
      </w:r>
    </w:p>
    <w:p w14:paraId="31FE5119">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一、工程质量保修范围</w:t>
      </w:r>
    </w:p>
    <w:p w14:paraId="31D5CBBE">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仿宋" w:hAnsi="仿宋" w:eastAsia="仿宋" w:cs="仿宋"/>
          <w:color w:val="auto"/>
          <w:sz w:val="24"/>
          <w:highlight w:val="none"/>
          <w:u w:val="none"/>
        </w:rPr>
      </w:pPr>
      <w:r>
        <w:rPr>
          <w:rFonts w:hint="eastAsia" w:ascii="仿宋" w:hAnsi="仿宋" w:eastAsia="仿宋" w:cs="仿宋"/>
          <w:bCs/>
          <w:color w:val="auto"/>
          <w:kern w:val="0"/>
          <w:sz w:val="24"/>
          <w:highlight w:val="none"/>
          <w:u w:val="none"/>
        </w:rPr>
        <w:t>质量保修范围包括本合同工程承包范围及工作内容中施工全部内容。具体质量保修内容双方约定如下：凡属于乙方原因（施工质量缺陷和材料设备质量缺陷）造成的各部位的质量问题或其他缺陷，及由于乙方维修造成发包人的相关损失，均属于乙方保修责任范围。</w:t>
      </w:r>
    </w:p>
    <w:p w14:paraId="0F3D5D11">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二、质量保修期</w:t>
      </w:r>
    </w:p>
    <w:p w14:paraId="5D1F523C">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根据《建设工程质量管理条例》及有关规定，工程的质量保修期如下：</w:t>
      </w:r>
    </w:p>
    <w:p w14:paraId="181D03A2">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1．地基基础工程和主体结构工程为设计文件规定的工程合理使用年限；</w:t>
      </w:r>
    </w:p>
    <w:p w14:paraId="6E990CA5">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2．屋面防水工程、有防水要求的卫生间、房间和外墙面的防渗为5年；</w:t>
      </w:r>
    </w:p>
    <w:p w14:paraId="120D6498">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 xml:space="preserve">3．装修工程为2年； </w:t>
      </w:r>
    </w:p>
    <w:p w14:paraId="4C4BE2E8">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4．电气管线、给排水管道、设备安装工程为2年；</w:t>
      </w:r>
    </w:p>
    <w:p w14:paraId="297654E9">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5．供热与供冷系统为2个采暖期、供冷期；</w:t>
      </w:r>
    </w:p>
    <w:p w14:paraId="3A36DB49">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6．住宅小区内的给排水设施、道路等配套工程为2年；</w:t>
      </w:r>
    </w:p>
    <w:p w14:paraId="164F155E">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7．城市道路保修期为2年，沥青路面保修期为2年；</w:t>
      </w:r>
    </w:p>
    <w:p w14:paraId="53E3EC6A">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8.其他项目保修期限约定如下：其他项目的保修期为2年。</w:t>
      </w:r>
    </w:p>
    <w:p w14:paraId="701A4EE6">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质量保修期自工程竣工验收合格之日起计算。</w:t>
      </w:r>
    </w:p>
    <w:p w14:paraId="68C840A3">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三、质量保修责任</w:t>
      </w:r>
    </w:p>
    <w:p w14:paraId="69E59789">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1．属于保修范围、内容的项目，承包人应当在接到保修通知之日起2天内派人保修。承包人不在约定期限内派人保修的，发包人可以委托他人修理。</w:t>
      </w:r>
    </w:p>
    <w:p w14:paraId="604BC893">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2．发生紧急事故需抢修的，承包人在接到事故通知后，应当立即到达事故现场抢修。</w:t>
      </w:r>
    </w:p>
    <w:p w14:paraId="3C59921F">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3．对于涉及结构安全的质量问题，应当按照 《建设工程质量管理条例》的规定，立即向当地建设行政主管部门和有关部门报告，采取安全防范措施，并由原设计人或者具有相应资质等级的设计人提出保修方案，承包人实施保修。</w:t>
      </w:r>
    </w:p>
    <w:p w14:paraId="483A30E3">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4．质量保修完成后，由发包人组织验收。</w:t>
      </w:r>
    </w:p>
    <w:p w14:paraId="265B394A">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四、质量保修金的支付</w:t>
      </w:r>
    </w:p>
    <w:p w14:paraId="30CD9631">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b w:val="0"/>
          <w:bCs/>
          <w:color w:val="auto"/>
          <w:sz w:val="24"/>
          <w:highlight w:val="none"/>
        </w:rPr>
        <w:t>本工程约定的工程质量保修金为施工合同价款的3%，支付方式按本项目《施工合同》约定条款执行。</w:t>
      </w:r>
    </w:p>
    <w:p w14:paraId="7336203B">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五、质量保修金的返还</w:t>
      </w:r>
    </w:p>
    <w:p w14:paraId="12D87688">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按本项目《施工合同》约定条款执行。</w:t>
      </w:r>
    </w:p>
    <w:p w14:paraId="2028D48E">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firstLine="482" w:firstLineChars="200"/>
        <w:textAlignment w:val="auto"/>
        <w:rPr>
          <w:rFonts w:hint="eastAsia" w:ascii="仿宋" w:hAnsi="仿宋" w:eastAsia="仿宋" w:cs="仿宋"/>
          <w:b w:val="0"/>
          <w:bCs/>
          <w:color w:val="auto"/>
          <w:sz w:val="24"/>
          <w:highlight w:val="none"/>
        </w:rPr>
      </w:pPr>
      <w:r>
        <w:rPr>
          <w:rFonts w:hint="eastAsia" w:ascii="仿宋" w:hAnsi="仿宋" w:eastAsia="仿宋" w:cs="仿宋"/>
          <w:b/>
          <w:color w:val="auto"/>
          <w:sz w:val="24"/>
          <w:highlight w:val="none"/>
        </w:rPr>
        <w:t>六、</w:t>
      </w:r>
      <w:r>
        <w:rPr>
          <w:rFonts w:hint="eastAsia" w:ascii="仿宋" w:hAnsi="仿宋" w:eastAsia="仿宋" w:cs="仿宋"/>
          <w:b w:val="0"/>
          <w:bCs/>
          <w:color w:val="auto"/>
          <w:sz w:val="24"/>
          <w:highlight w:val="none"/>
        </w:rPr>
        <w:t>双方约定的其他工程质量保修事项：</w:t>
      </w:r>
      <w:r>
        <w:rPr>
          <w:rFonts w:hint="eastAsia" w:ascii="仿宋" w:hAnsi="仿宋" w:eastAsia="仿宋" w:cs="仿宋"/>
          <w:b w:val="0"/>
          <w:bCs/>
          <w:color w:val="auto"/>
          <w:sz w:val="24"/>
          <w:highlight w:val="none"/>
          <w:u w:val="single"/>
        </w:rPr>
        <w:t>按国务院《建设工程质量管理条例》相关规定进行保修。</w:t>
      </w:r>
    </w:p>
    <w:p w14:paraId="7862B390">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b w:val="0"/>
          <w:bCs/>
          <w:color w:val="auto"/>
          <w:sz w:val="24"/>
          <w:highlight w:val="none"/>
        </w:rPr>
        <w:t>工程质量保修书由发包人、承包人在工程竣工验收前共同签署，作为施工合同附件，其有效期限至保修期满。</w:t>
      </w:r>
    </w:p>
    <w:p w14:paraId="3F6195D3">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highlight w:val="none"/>
        </w:rPr>
      </w:pPr>
    </w:p>
    <w:p w14:paraId="2D4DE147">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568"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发包人（盖章）：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承包人（盖章）：</w:t>
      </w:r>
      <w:r>
        <w:rPr>
          <w:rFonts w:hint="eastAsia" w:ascii="仿宋" w:hAnsi="仿宋" w:eastAsia="仿宋" w:cs="仿宋"/>
          <w:color w:val="auto"/>
          <w:sz w:val="24"/>
          <w:highlight w:val="none"/>
          <w:u w:val="single"/>
        </w:rPr>
        <w:t xml:space="preserve">                 </w:t>
      </w:r>
    </w:p>
    <w:p w14:paraId="53C55381">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568" w:lineRule="exact"/>
        <w:textAlignment w:val="auto"/>
        <w:rPr>
          <w:rFonts w:hint="eastAsia" w:ascii="仿宋" w:hAnsi="仿宋" w:eastAsia="仿宋" w:cs="仿宋"/>
          <w:color w:val="auto"/>
          <w:sz w:val="24"/>
          <w:highlight w:val="none"/>
        </w:rPr>
      </w:pPr>
    </w:p>
    <w:p w14:paraId="7F339BBD">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568" w:lineRule="exact"/>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法定代表人                           法定代表人</w:t>
      </w:r>
      <w:r>
        <w:rPr>
          <w:rFonts w:hint="eastAsia" w:ascii="仿宋" w:hAnsi="仿宋" w:eastAsia="仿宋" w:cs="仿宋"/>
          <w:color w:val="auto"/>
          <w:sz w:val="24"/>
          <w:highlight w:val="none"/>
          <w:u w:val="single"/>
        </w:rPr>
        <w:t xml:space="preserve"> </w:t>
      </w:r>
    </w:p>
    <w:p w14:paraId="34DEF9EA">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568" w:lineRule="exact"/>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或委托代理人（签字）：</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或委托代理人（签字）：</w:t>
      </w:r>
      <w:r>
        <w:rPr>
          <w:rFonts w:hint="eastAsia" w:ascii="仿宋" w:hAnsi="仿宋" w:eastAsia="仿宋" w:cs="仿宋"/>
          <w:color w:val="auto"/>
          <w:sz w:val="24"/>
          <w:highlight w:val="none"/>
          <w:u w:val="single"/>
        </w:rPr>
        <w:t xml:space="preserve">             </w:t>
      </w:r>
    </w:p>
    <w:p w14:paraId="668AE0F8">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568" w:lineRule="exact"/>
        <w:textAlignment w:val="auto"/>
        <w:rPr>
          <w:rFonts w:hint="eastAsia" w:ascii="仿宋" w:hAnsi="仿宋" w:eastAsia="仿宋" w:cs="仿宋"/>
          <w:color w:val="auto"/>
          <w:sz w:val="24"/>
          <w:highlight w:val="none"/>
        </w:rPr>
      </w:pPr>
    </w:p>
    <w:p w14:paraId="0C679E24">
      <w:pPr>
        <w:shd w:val="clear"/>
        <w:rPr>
          <w:rFonts w:hint="eastAsia" w:ascii="仿宋" w:hAnsi="仿宋" w:eastAsia="仿宋" w:cs="仿宋"/>
          <w:color w:val="auto"/>
          <w:sz w:val="24"/>
          <w:highlight w:val="none"/>
        </w:rPr>
      </w:pPr>
      <w:r>
        <w:rPr>
          <w:rFonts w:hint="eastAsia" w:ascii="仿宋" w:hAnsi="仿宋" w:eastAsia="仿宋" w:cs="仿宋"/>
          <w:color w:val="auto"/>
          <w:sz w:val="24"/>
          <w:highlight w:val="none"/>
        </w:rPr>
        <w:t>签订日期：</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 xml:space="preserve">日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 xml:space="preserve">    签订日期：</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日</w:t>
      </w:r>
      <w:r>
        <w:rPr>
          <w:rFonts w:hint="eastAsia" w:ascii="仿宋" w:hAnsi="仿宋" w:eastAsia="仿宋" w:cs="仿宋"/>
          <w:color w:val="auto"/>
          <w:sz w:val="24"/>
          <w:highlight w:val="none"/>
        </w:rPr>
        <w:br w:type="page"/>
      </w:r>
    </w:p>
    <w:p w14:paraId="0EBA24C4">
      <w:pPr>
        <w:keepNext w:val="0"/>
        <w:keepLines w:val="0"/>
        <w:pageBreakBefore w:val="0"/>
        <w:widowControl w:val="0"/>
        <w:shd w:val="clear"/>
        <w:kinsoku/>
        <w:wordWrap/>
        <w:overflowPunct/>
        <w:topLinePunct w:val="0"/>
        <w:autoSpaceDE/>
        <w:autoSpaceDN/>
        <w:bidi w:val="0"/>
        <w:adjustRightInd w:val="0"/>
        <w:snapToGrid w:val="0"/>
        <w:spacing w:beforeAutospacing="0" w:afterAutospacing="0" w:line="568" w:lineRule="exact"/>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附件2</w:t>
      </w:r>
    </w:p>
    <w:p w14:paraId="0812D2F6">
      <w:pPr>
        <w:keepNext w:val="0"/>
        <w:keepLines w:val="0"/>
        <w:pageBreakBefore w:val="0"/>
        <w:widowControl/>
        <w:shd w:val="clear"/>
        <w:kinsoku/>
        <w:wordWrap/>
        <w:overflowPunct/>
        <w:topLinePunct w:val="0"/>
        <w:autoSpaceDE/>
        <w:autoSpaceDN/>
        <w:bidi w:val="0"/>
        <w:adjustRightInd w:val="0"/>
        <w:snapToGrid w:val="0"/>
        <w:spacing w:beforeAutospacing="0" w:afterAutospacing="0" w:line="568" w:lineRule="exact"/>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b/>
          <w:bCs/>
          <w:color w:val="auto"/>
          <w:kern w:val="0"/>
          <w:sz w:val="44"/>
          <w:szCs w:val="44"/>
          <w:highlight w:val="none"/>
        </w:rPr>
        <w:t>廉政合同</w:t>
      </w:r>
    </w:p>
    <w:p w14:paraId="792902DE">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为进一步做好工程建设中的党风廉政工作，保证工程建设高效优质，保证建设资金的安全和有效使用以及投资效益， 建立良好的“亲”“清”政企政商关系</w:t>
      </w:r>
      <w:r>
        <w:rPr>
          <w:rFonts w:hint="eastAsia" w:ascii="仿宋" w:hAnsi="仿宋" w:eastAsia="仿宋" w:cs="仿宋"/>
          <w:color w:val="auto"/>
          <w:kern w:val="0"/>
          <w:sz w:val="24"/>
          <w:szCs w:val="24"/>
          <w:highlight w:val="none"/>
        </w:rPr>
        <w:t>，</w:t>
      </w:r>
      <w:r>
        <w:rPr>
          <w:rFonts w:hint="eastAsia" w:ascii="仿宋" w:hAnsi="仿宋" w:eastAsia="仿宋" w:cs="仿宋"/>
          <w:color w:val="auto"/>
          <w:sz w:val="24"/>
          <w:szCs w:val="24"/>
          <w:highlight w:val="none"/>
          <w:u w:val="single"/>
          <w:lang w:eastAsia="zh-CN"/>
        </w:rPr>
        <w:t>芙蓉生态新城六号安置小区（一期）外墙防水工程项目</w:t>
      </w:r>
      <w:r>
        <w:rPr>
          <w:rFonts w:hint="eastAsia" w:ascii="仿宋" w:hAnsi="仿宋" w:eastAsia="仿宋" w:cs="仿宋"/>
          <w:color w:val="auto"/>
          <w:sz w:val="24"/>
          <w:szCs w:val="24"/>
          <w:highlight w:val="none"/>
        </w:rPr>
        <w:t>的项目法人</w:t>
      </w:r>
      <w:r>
        <w:rPr>
          <w:rFonts w:hint="eastAsia" w:ascii="仿宋" w:hAnsi="仿宋" w:eastAsia="仿宋" w:cs="仿宋"/>
          <w:color w:val="auto"/>
          <w:sz w:val="24"/>
          <w:szCs w:val="24"/>
          <w:highlight w:val="none"/>
          <w:u w:val="single"/>
          <w:lang w:eastAsia="zh-CN"/>
        </w:rPr>
        <w:t>长沙芙蓉</w:t>
      </w:r>
      <w:r>
        <w:rPr>
          <w:rFonts w:hint="eastAsia" w:ascii="仿宋" w:hAnsi="仿宋" w:eastAsia="仿宋" w:cs="仿宋"/>
          <w:color w:val="auto"/>
          <w:sz w:val="24"/>
          <w:szCs w:val="24"/>
          <w:highlight w:val="none"/>
          <w:u w:val="single"/>
          <w:lang w:val="en-US" w:eastAsia="zh-CN"/>
        </w:rPr>
        <w:t>新城置业</w:t>
      </w:r>
      <w:r>
        <w:rPr>
          <w:rFonts w:hint="eastAsia" w:ascii="仿宋" w:hAnsi="仿宋" w:eastAsia="仿宋" w:cs="仿宋"/>
          <w:color w:val="auto"/>
          <w:sz w:val="24"/>
          <w:szCs w:val="24"/>
          <w:highlight w:val="none"/>
          <w:u w:val="single"/>
          <w:lang w:eastAsia="zh-CN"/>
        </w:rPr>
        <w:t>有限公司（</w:t>
      </w:r>
      <w:r>
        <w:rPr>
          <w:rFonts w:hint="eastAsia" w:ascii="仿宋" w:hAnsi="仿宋" w:eastAsia="仿宋" w:cs="仿宋"/>
          <w:color w:val="auto"/>
          <w:sz w:val="24"/>
          <w:szCs w:val="24"/>
          <w:highlight w:val="none"/>
          <w:u w:val="single"/>
        </w:rPr>
        <w:t>以下称甲方</w:t>
      </w:r>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rPr>
        <w:t>与</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（以下称乙方）</w:t>
      </w:r>
      <w:r>
        <w:rPr>
          <w:rFonts w:hint="eastAsia" w:ascii="仿宋" w:hAnsi="仿宋" w:eastAsia="仿宋" w:cs="仿宋"/>
          <w:color w:val="auto"/>
          <w:sz w:val="24"/>
          <w:szCs w:val="24"/>
          <w:highlight w:val="none"/>
        </w:rPr>
        <w:t>，特订立如下合同</w:t>
      </w:r>
      <w:r>
        <w:rPr>
          <w:rFonts w:hint="eastAsia" w:ascii="仿宋" w:hAnsi="仿宋" w:eastAsia="仿宋" w:cs="仿宋"/>
          <w:color w:val="auto"/>
          <w:kern w:val="0"/>
          <w:sz w:val="24"/>
          <w:szCs w:val="24"/>
          <w:highlight w:val="none"/>
        </w:rPr>
        <w:t>。</w:t>
      </w:r>
    </w:p>
    <w:p w14:paraId="4066E559">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ind w:firstLine="482" w:firstLineChars="200"/>
        <w:textAlignment w:val="auto"/>
        <w:rPr>
          <w:rFonts w:hint="eastAsia" w:ascii="仿宋" w:hAnsi="仿宋" w:eastAsia="仿宋" w:cs="仿宋"/>
          <w:b/>
          <w:color w:val="auto"/>
          <w:sz w:val="24"/>
          <w:szCs w:val="24"/>
          <w:highlight w:val="none"/>
        </w:rPr>
      </w:pPr>
      <w:bookmarkStart w:id="91" w:name="_Toc59896701"/>
      <w:bookmarkStart w:id="92" w:name="_Toc59900969"/>
      <w:r>
        <w:rPr>
          <w:rFonts w:hint="eastAsia" w:ascii="仿宋" w:hAnsi="仿宋" w:eastAsia="仿宋" w:cs="仿宋"/>
          <w:b/>
          <w:color w:val="auto"/>
          <w:sz w:val="24"/>
          <w:szCs w:val="24"/>
          <w:highlight w:val="none"/>
        </w:rPr>
        <w:t>第一条 甲乙双方的权利和义务</w:t>
      </w:r>
      <w:bookmarkEnd w:id="91"/>
      <w:bookmarkEnd w:id="92"/>
    </w:p>
    <w:p w14:paraId="1D637F56">
      <w:pPr>
        <w:keepNext w:val="0"/>
        <w:keepLines w:val="0"/>
        <w:pageBreakBefore w:val="0"/>
        <w:shd w:val="clear"/>
        <w:tabs>
          <w:tab w:val="left" w:pos="2115"/>
        </w:tabs>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（一）严格遵守党和国家有关法律法规及湖南省、长沙市的相关规定。</w:t>
      </w:r>
    </w:p>
    <w:p w14:paraId="43AE5ECF">
      <w:pPr>
        <w:keepNext w:val="0"/>
        <w:keepLines w:val="0"/>
        <w:pageBreakBefore w:val="0"/>
        <w:shd w:val="clear"/>
        <w:tabs>
          <w:tab w:val="left" w:pos="2115"/>
        </w:tabs>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（二）严格执行</w:t>
      </w:r>
      <w:r>
        <w:rPr>
          <w:rFonts w:hint="eastAsia" w:ascii="仿宋" w:hAnsi="仿宋" w:eastAsia="仿宋" w:cs="仿宋"/>
          <w:color w:val="auto"/>
          <w:kern w:val="0"/>
          <w:sz w:val="24"/>
          <w:szCs w:val="24"/>
          <w:highlight w:val="none"/>
          <w:u w:val="single"/>
        </w:rPr>
        <w:t>《建设工程施工合同[</w:t>
      </w:r>
      <w:r>
        <w:rPr>
          <w:rFonts w:hint="eastAsia" w:ascii="仿宋" w:hAnsi="仿宋" w:eastAsia="仿宋" w:cs="仿宋"/>
          <w:color w:val="auto"/>
          <w:sz w:val="24"/>
          <w:szCs w:val="24"/>
          <w:highlight w:val="none"/>
          <w:u w:val="single"/>
          <w:lang w:eastAsia="zh-CN"/>
        </w:rPr>
        <w:t>芙蓉生态新城六号安置小区（一期）外墙防水工程项目</w:t>
      </w:r>
      <w:r>
        <w:rPr>
          <w:rFonts w:hint="eastAsia" w:ascii="仿宋" w:hAnsi="仿宋" w:eastAsia="仿宋" w:cs="仿宋"/>
          <w:color w:val="auto"/>
          <w:kern w:val="0"/>
          <w:sz w:val="24"/>
          <w:szCs w:val="24"/>
          <w:highlight w:val="none"/>
          <w:u w:val="single"/>
        </w:rPr>
        <w:t>]》（以下简称“主合同”）</w:t>
      </w:r>
      <w:r>
        <w:rPr>
          <w:rFonts w:hint="eastAsia" w:ascii="仿宋" w:hAnsi="仿宋" w:eastAsia="仿宋" w:cs="仿宋"/>
          <w:color w:val="auto"/>
          <w:sz w:val="24"/>
          <w:szCs w:val="24"/>
          <w:highlight w:val="none"/>
        </w:rPr>
        <w:t>的合同文件，自觉按合同办事。</w:t>
      </w:r>
    </w:p>
    <w:p w14:paraId="6A6CC75B">
      <w:pPr>
        <w:keepNext w:val="0"/>
        <w:keepLines w:val="0"/>
        <w:pageBreakBefore w:val="0"/>
        <w:shd w:val="clear"/>
        <w:tabs>
          <w:tab w:val="left" w:pos="2115"/>
        </w:tabs>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（三）双方的业务活动坚持公开、公正、诚信、透明的原则（除法律认定的商业秘密和合同文件另有规定之外），不得损害国家和集体利益，违反工程建设规章制度。</w:t>
      </w:r>
    </w:p>
    <w:p w14:paraId="1D5F8153">
      <w:pPr>
        <w:keepNext w:val="0"/>
        <w:keepLines w:val="0"/>
        <w:pageBreakBefore w:val="0"/>
        <w:shd w:val="clear"/>
        <w:tabs>
          <w:tab w:val="left" w:pos="2115"/>
        </w:tabs>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（四）建立健全廉政制度，开展廉政教育，设立廉政告示牌，公布举报电话，监督并认真查处违法违纪行为。</w:t>
      </w:r>
    </w:p>
    <w:p w14:paraId="472C964A">
      <w:pPr>
        <w:keepNext w:val="0"/>
        <w:keepLines w:val="0"/>
        <w:pageBreakBefore w:val="0"/>
        <w:shd w:val="clear"/>
        <w:tabs>
          <w:tab w:val="left" w:pos="2115"/>
        </w:tabs>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（五）发现对方在业务活动中有违反廉政规定的行为，有及时提醒对方纠正的权利和义务。</w:t>
      </w:r>
    </w:p>
    <w:p w14:paraId="15B8635F">
      <w:pPr>
        <w:keepNext w:val="0"/>
        <w:keepLines w:val="0"/>
        <w:pageBreakBefore w:val="0"/>
        <w:shd w:val="clear"/>
        <w:tabs>
          <w:tab w:val="left" w:pos="2115"/>
        </w:tabs>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（六）发现对方严重违反本合同义务条款的行为，有向其上级有关部门举报、建议给予处理并要求告知处理结果的权利。</w:t>
      </w:r>
    </w:p>
    <w:p w14:paraId="54A533E7">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ind w:firstLine="482" w:firstLineChars="200"/>
        <w:textAlignment w:val="auto"/>
        <w:rPr>
          <w:rFonts w:hint="eastAsia" w:ascii="仿宋" w:hAnsi="仿宋" w:eastAsia="仿宋" w:cs="仿宋"/>
          <w:b/>
          <w:color w:val="auto"/>
          <w:sz w:val="24"/>
          <w:szCs w:val="24"/>
          <w:highlight w:val="none"/>
        </w:rPr>
      </w:pPr>
      <w:bookmarkStart w:id="93" w:name="_Toc59900970"/>
      <w:bookmarkStart w:id="94" w:name="_Toc59896702"/>
      <w:r>
        <w:rPr>
          <w:rFonts w:hint="eastAsia" w:ascii="仿宋" w:hAnsi="仿宋" w:eastAsia="仿宋" w:cs="仿宋"/>
          <w:b/>
          <w:color w:val="auto"/>
          <w:sz w:val="24"/>
          <w:szCs w:val="24"/>
          <w:highlight w:val="none"/>
        </w:rPr>
        <w:t>第二条 甲方的义务</w:t>
      </w:r>
      <w:bookmarkEnd w:id="93"/>
      <w:bookmarkEnd w:id="94"/>
    </w:p>
    <w:p w14:paraId="259902CB">
      <w:pPr>
        <w:keepNext w:val="0"/>
        <w:keepLines w:val="0"/>
        <w:pageBreakBefore w:val="0"/>
        <w:shd w:val="clear"/>
        <w:tabs>
          <w:tab w:val="left" w:pos="0"/>
          <w:tab w:val="left" w:pos="2115"/>
        </w:tabs>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（一）甲方及其工作人员不得索要或接受乙方的礼金、礼品、礼物、电子红包、礼品券、消费券（卡）、有价证券、贵重物品和旅游，不得在乙方报销任何应由甲方或个人支付的费用等。</w:t>
      </w:r>
    </w:p>
    <w:p w14:paraId="2FB256B5">
      <w:pPr>
        <w:keepNext w:val="0"/>
        <w:keepLines w:val="0"/>
        <w:pageBreakBefore w:val="0"/>
        <w:shd w:val="clear"/>
        <w:tabs>
          <w:tab w:val="left" w:pos="0"/>
          <w:tab w:val="left" w:pos="2115"/>
        </w:tabs>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（二）甲方工作人员不得参加乙方及其工作人员安排的宴请和娱乐活动。</w:t>
      </w:r>
    </w:p>
    <w:p w14:paraId="4BBCFC7E">
      <w:pPr>
        <w:keepNext w:val="0"/>
        <w:keepLines w:val="0"/>
        <w:pageBreakBefore w:val="0"/>
        <w:shd w:val="clear"/>
        <w:tabs>
          <w:tab w:val="left" w:pos="0"/>
          <w:tab w:val="left" w:pos="2115"/>
        </w:tabs>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（三）甲方及其工作人员不得接受乙方及其工作人员提供的通讯工具、交通工具和高档办公用品等。</w:t>
      </w:r>
    </w:p>
    <w:p w14:paraId="14B3EA4E">
      <w:pPr>
        <w:keepNext w:val="0"/>
        <w:keepLines w:val="0"/>
        <w:pageBreakBefore w:val="0"/>
        <w:shd w:val="clear"/>
        <w:tabs>
          <w:tab w:val="left" w:pos="0"/>
          <w:tab w:val="left" w:pos="2115"/>
        </w:tabs>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（四）甲方工作人员不得接受乙方及其工作人员安排的旅游、健身等活动。</w:t>
      </w:r>
    </w:p>
    <w:p w14:paraId="6F856C7E">
      <w:pPr>
        <w:keepNext w:val="0"/>
        <w:keepLines w:val="0"/>
        <w:pageBreakBefore w:val="0"/>
        <w:shd w:val="clear"/>
        <w:tabs>
          <w:tab w:val="left" w:pos="0"/>
          <w:tab w:val="left" w:pos="2115"/>
        </w:tabs>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（五）甲方及其工作人员不得要求或者接受乙方及其工作人员为其住房装修、婚丧嫁娶活动、配偶子女的工作安排以及出国出境、旅游等提供方便等。</w:t>
      </w:r>
    </w:p>
    <w:p w14:paraId="45FE7B49">
      <w:pPr>
        <w:keepNext w:val="0"/>
        <w:keepLines w:val="0"/>
        <w:pageBreakBefore w:val="0"/>
        <w:shd w:val="clear"/>
        <w:tabs>
          <w:tab w:val="left" w:pos="0"/>
          <w:tab w:val="left" w:pos="2115"/>
        </w:tabs>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（六）甲方及其工作人员不得有在乙方承担的项目中套取资金及其他违法违纪行为。</w:t>
      </w:r>
    </w:p>
    <w:p w14:paraId="19CDC4CD">
      <w:pPr>
        <w:keepNext w:val="0"/>
        <w:keepLines w:val="0"/>
        <w:pageBreakBefore w:val="0"/>
        <w:shd w:val="clear"/>
        <w:tabs>
          <w:tab w:val="left" w:pos="0"/>
          <w:tab w:val="left" w:pos="2115"/>
        </w:tabs>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（七）甲方及其工作人员不得有推荐或指定供应商以及其他业务合作单位等违规违纪活动。</w:t>
      </w:r>
    </w:p>
    <w:p w14:paraId="7A4BC206">
      <w:pPr>
        <w:keepNext w:val="0"/>
        <w:keepLines w:val="0"/>
        <w:pageBreakBefore w:val="0"/>
        <w:shd w:val="clear"/>
        <w:tabs>
          <w:tab w:val="left" w:pos="0"/>
          <w:tab w:val="left" w:pos="2115"/>
        </w:tabs>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（八）甲方及其工作人员不得向乙方及其工作人员索拿卡要。</w:t>
      </w:r>
    </w:p>
    <w:p w14:paraId="38876576">
      <w:pPr>
        <w:keepNext w:val="0"/>
        <w:keepLines w:val="0"/>
        <w:pageBreakBefore w:val="0"/>
        <w:shd w:val="clear"/>
        <w:tabs>
          <w:tab w:val="left" w:pos="0"/>
          <w:tab w:val="left" w:pos="2115"/>
        </w:tabs>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（九）甲方及其工作人员不得与乙方及其工作人员发生资金借贷、不动产借用租赁等经济利益关系。</w:t>
      </w:r>
    </w:p>
    <w:p w14:paraId="49D4B262">
      <w:pPr>
        <w:keepNext w:val="0"/>
        <w:keepLines w:val="0"/>
        <w:pageBreakBefore w:val="0"/>
        <w:shd w:val="clear"/>
        <w:tabs>
          <w:tab w:val="left" w:pos="0"/>
          <w:tab w:val="left" w:pos="2115"/>
        </w:tabs>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（十）甲方工作人员不得通过向乙方及其工作人员泄露政府有关工作机密谋取个人利益。</w:t>
      </w:r>
    </w:p>
    <w:p w14:paraId="4352F260">
      <w:pPr>
        <w:keepNext w:val="0"/>
        <w:keepLines w:val="0"/>
        <w:pageBreakBefore w:val="0"/>
        <w:shd w:val="clear"/>
        <w:tabs>
          <w:tab w:val="left" w:pos="0"/>
          <w:tab w:val="left" w:pos="2115"/>
        </w:tabs>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（十一）甲方工作人员不得在项目建设管理过程中优亲厚友，为亲属和其他特定关系人谋取利益。</w:t>
      </w:r>
    </w:p>
    <w:p w14:paraId="7EF5573A">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ind w:firstLine="482" w:firstLineChars="200"/>
        <w:textAlignment w:val="auto"/>
        <w:rPr>
          <w:rFonts w:hint="eastAsia" w:ascii="仿宋" w:hAnsi="仿宋" w:eastAsia="仿宋" w:cs="仿宋"/>
          <w:b/>
          <w:color w:val="auto"/>
          <w:sz w:val="24"/>
          <w:szCs w:val="24"/>
          <w:highlight w:val="none"/>
        </w:rPr>
      </w:pPr>
      <w:bookmarkStart w:id="95" w:name="_Toc59896703"/>
      <w:bookmarkStart w:id="96" w:name="_Toc59900971"/>
      <w:r>
        <w:rPr>
          <w:rFonts w:hint="eastAsia" w:ascii="仿宋" w:hAnsi="仿宋" w:eastAsia="仿宋" w:cs="仿宋"/>
          <w:b/>
          <w:color w:val="auto"/>
          <w:sz w:val="24"/>
          <w:szCs w:val="24"/>
          <w:highlight w:val="none"/>
        </w:rPr>
        <w:t>第三条 乙方义务</w:t>
      </w:r>
      <w:bookmarkEnd w:id="95"/>
      <w:bookmarkEnd w:id="96"/>
    </w:p>
    <w:p w14:paraId="7F54F25F">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（一）乙方及其工作人员不得以任何理由向甲方及其工作人员行贿或馈赠礼金、有价证券、贵重礼品、礼物、电子红包、礼品券、消费券（卡）以及旅游、健身等。</w:t>
      </w:r>
    </w:p>
    <w:p w14:paraId="2A2C1D68">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（二）乙方及其工作人员不得以任何名义为甲方及其工作人员报销应由甲方单位或个人支付的任何费用。</w:t>
      </w:r>
    </w:p>
    <w:p w14:paraId="022FE08F">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（三）乙方及其工作人员不得以任何理由安排甲方工作人员参加宴请及娱乐活动。</w:t>
      </w:r>
    </w:p>
    <w:p w14:paraId="231148B0">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（四）乙方及其工作人员不得为甲方单位和个人购置或提供通讯工具、交通工具和高档办公用品等。</w:t>
      </w:r>
    </w:p>
    <w:p w14:paraId="19BB243A">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（五）乙方及其工作人员不得对所承揽项目进行分包、挂靠。</w:t>
      </w:r>
    </w:p>
    <w:p w14:paraId="69EBC4A3">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（六）乙方及其工作人员不得为甲方及其工作人员套取资金及其他违法违纪行为提供虚假合同、账户、账号等便利条件。</w:t>
      </w:r>
    </w:p>
    <w:p w14:paraId="44218526">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（七）乙方及其工作人员应主动拒绝甲方及其工作人员指定供应商等违规违纪活动。</w:t>
      </w:r>
    </w:p>
    <w:p w14:paraId="2245FA7E">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（八）乙方及其工作人员不得与甲方及其工作人员发生资金借贷、不动产借用租赁等经济利益关系。</w:t>
      </w:r>
    </w:p>
    <w:p w14:paraId="3B06B9A3">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（九）对甲方及其工作人员索拿卡要行为及时向芙蓉区纪委相关负责同志报告。</w:t>
      </w:r>
    </w:p>
    <w:p w14:paraId="494C2E84">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（十）自愿接受芙蓉区政府对所参与项目的财政审计监督。</w:t>
      </w:r>
    </w:p>
    <w:p w14:paraId="0A1D509C">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ind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第四条 违约责任</w:t>
      </w:r>
    </w:p>
    <w:p w14:paraId="4DBA8E4A">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（一）甲方及其工作人员违反本合同第一、二条，按管理权限，依据有关规定给予党纪、政纪或组织处理，调离其工作岗位；涉嫌犯罪的，移交司法机关追究刑事责任；给乙方单位造成经济损失的，应予以赔偿。</w:t>
      </w:r>
    </w:p>
    <w:p w14:paraId="049A823E">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乙方及其工作人员违反本合同第一、三条，按管理权限，依据有关规定，给予党纪、政纪或组织处理；由甲方根据情节严重情况，向相关主管部门报告计入不良信用记录；承担不当得利的二倍以上罚款；给甲方单位造成经济损失的，应予以赔偿；情节严重的，甲方可以单方终止与乙方的合同，给予乙方三年内不得对甲方组织建设的工程项目进行投标的处罚；承担违法行为的一切法律后果与责任。</w:t>
      </w:r>
    </w:p>
    <w:p w14:paraId="64EFA86B">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ind w:firstLine="482" w:firstLineChars="200"/>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第五条</w:t>
      </w:r>
      <w:r>
        <w:rPr>
          <w:rFonts w:hint="eastAsia" w:ascii="仿宋" w:hAnsi="仿宋" w:eastAsia="仿宋" w:cs="仿宋"/>
          <w:color w:val="auto"/>
          <w:sz w:val="24"/>
          <w:szCs w:val="24"/>
          <w:highlight w:val="none"/>
        </w:rPr>
        <w:t xml:space="preserve"> 双方约定：本合同由双方或双方上级单位的纪检监察机关负责监督执行。由甲方或甲方上级单位的纪检监察机关约请乙方或乙方上级单位纪检监察机关对本合同执行情况进行检查；提出在本合同约定范围内的裁定意见。</w:t>
      </w:r>
    </w:p>
    <w:p w14:paraId="00057746">
      <w:pPr>
        <w:keepNext w:val="0"/>
        <w:keepLines w:val="0"/>
        <w:pageBreakBefore w:val="0"/>
        <w:widowControl/>
        <w:shd w:val="clear"/>
        <w:kinsoku/>
        <w:wordWrap/>
        <w:overflowPunct/>
        <w:topLinePunct w:val="0"/>
        <w:autoSpaceDE/>
        <w:autoSpaceDN/>
        <w:bidi w:val="0"/>
        <w:adjustRightInd w:val="0"/>
        <w:snapToGrid w:val="0"/>
        <w:spacing w:beforeAutospacing="0" w:afterAutospacing="0" w:line="568" w:lineRule="exact"/>
        <w:ind w:firstLine="482" w:firstLineChars="200"/>
        <w:jc w:val="left"/>
        <w:textAlignment w:val="auto"/>
        <w:rPr>
          <w:rFonts w:hint="eastAsia" w:ascii="仿宋" w:hAnsi="仿宋" w:eastAsia="仿宋" w:cs="仿宋"/>
          <w:color w:val="auto"/>
          <w:kern w:val="0"/>
          <w:sz w:val="24"/>
          <w:szCs w:val="24"/>
          <w:highlight w:val="none"/>
        </w:rPr>
      </w:pPr>
      <w:r>
        <w:rPr>
          <w:rFonts w:hint="eastAsia" w:ascii="仿宋" w:hAnsi="仿宋" w:eastAsia="仿宋" w:cs="仿宋"/>
          <w:b/>
          <w:color w:val="auto"/>
          <w:kern w:val="0"/>
          <w:sz w:val="24"/>
          <w:szCs w:val="24"/>
          <w:highlight w:val="none"/>
        </w:rPr>
        <w:t>第六条</w:t>
      </w:r>
      <w:r>
        <w:rPr>
          <w:rFonts w:hint="eastAsia" w:ascii="仿宋" w:hAnsi="仿宋" w:eastAsia="仿宋" w:cs="仿宋"/>
          <w:color w:val="auto"/>
          <w:kern w:val="0"/>
          <w:sz w:val="24"/>
          <w:szCs w:val="24"/>
          <w:highlight w:val="none"/>
        </w:rPr>
        <w:t>　本合同作为甲、乙双方主合同的附件，与主合同具有同等法律效力。经双方签署后立即生效。</w:t>
      </w:r>
    </w:p>
    <w:p w14:paraId="2BCE5CDD">
      <w:pPr>
        <w:keepNext w:val="0"/>
        <w:keepLines w:val="0"/>
        <w:pageBreakBefore w:val="0"/>
        <w:widowControl/>
        <w:shd w:val="clear"/>
        <w:kinsoku/>
        <w:wordWrap/>
        <w:overflowPunct/>
        <w:topLinePunct w:val="0"/>
        <w:autoSpaceDE/>
        <w:autoSpaceDN/>
        <w:bidi w:val="0"/>
        <w:adjustRightInd w:val="0"/>
        <w:snapToGrid w:val="0"/>
        <w:spacing w:beforeAutospacing="0" w:afterAutospacing="0" w:line="568" w:lineRule="exact"/>
        <w:ind w:firstLine="482" w:firstLineChars="200"/>
        <w:jc w:val="left"/>
        <w:textAlignment w:val="auto"/>
        <w:rPr>
          <w:rFonts w:hint="eastAsia" w:ascii="仿宋" w:hAnsi="仿宋" w:eastAsia="仿宋" w:cs="仿宋"/>
          <w:color w:val="auto"/>
          <w:kern w:val="0"/>
          <w:sz w:val="24"/>
          <w:szCs w:val="24"/>
          <w:highlight w:val="none"/>
        </w:rPr>
      </w:pPr>
      <w:r>
        <w:rPr>
          <w:rFonts w:hint="eastAsia" w:ascii="仿宋" w:hAnsi="仿宋" w:eastAsia="仿宋" w:cs="仿宋"/>
          <w:b/>
          <w:color w:val="auto"/>
          <w:kern w:val="0"/>
          <w:sz w:val="24"/>
          <w:szCs w:val="24"/>
          <w:highlight w:val="none"/>
        </w:rPr>
        <w:t>第七条</w:t>
      </w:r>
      <w:r>
        <w:rPr>
          <w:rFonts w:hint="eastAsia" w:ascii="仿宋" w:hAnsi="仿宋" w:eastAsia="仿宋" w:cs="仿宋"/>
          <w:color w:val="auto"/>
          <w:kern w:val="0"/>
          <w:sz w:val="24"/>
          <w:szCs w:val="24"/>
          <w:highlight w:val="none"/>
        </w:rPr>
        <w:t>　本合同的有效期为甲、乙双方签署之日起至主合同结算完成、款项支付完毕时止。</w:t>
      </w:r>
    </w:p>
    <w:p w14:paraId="5F6A59CA">
      <w:pPr>
        <w:keepNext w:val="0"/>
        <w:keepLines w:val="0"/>
        <w:pageBreakBefore w:val="0"/>
        <w:widowControl/>
        <w:shd w:val="clear"/>
        <w:kinsoku/>
        <w:wordWrap/>
        <w:overflowPunct/>
        <w:topLinePunct w:val="0"/>
        <w:autoSpaceDE/>
        <w:autoSpaceDN/>
        <w:bidi w:val="0"/>
        <w:adjustRightInd w:val="0"/>
        <w:snapToGrid w:val="0"/>
        <w:spacing w:beforeAutospacing="0" w:afterAutospacing="0" w:line="568" w:lineRule="exact"/>
        <w:ind w:firstLine="482" w:firstLineChars="200"/>
        <w:jc w:val="left"/>
        <w:textAlignment w:val="auto"/>
        <w:rPr>
          <w:rFonts w:hint="eastAsia" w:ascii="仿宋" w:hAnsi="仿宋" w:eastAsia="仿宋" w:cs="仿宋"/>
          <w:color w:val="auto"/>
          <w:kern w:val="0"/>
          <w:sz w:val="24"/>
          <w:szCs w:val="24"/>
          <w:highlight w:val="none"/>
        </w:rPr>
      </w:pPr>
      <w:r>
        <w:rPr>
          <w:rFonts w:hint="eastAsia" w:ascii="仿宋" w:hAnsi="仿宋" w:eastAsia="仿宋" w:cs="仿宋"/>
          <w:b/>
          <w:color w:val="auto"/>
          <w:kern w:val="0"/>
          <w:sz w:val="24"/>
          <w:szCs w:val="24"/>
          <w:highlight w:val="none"/>
        </w:rPr>
        <w:t>第八条</w:t>
      </w:r>
      <w:r>
        <w:rPr>
          <w:rFonts w:hint="eastAsia" w:ascii="仿宋" w:hAnsi="仿宋" w:eastAsia="仿宋" w:cs="仿宋"/>
          <w:color w:val="auto"/>
          <w:kern w:val="0"/>
          <w:sz w:val="24"/>
          <w:szCs w:val="24"/>
          <w:highlight w:val="none"/>
        </w:rPr>
        <w:t>　本合同按主合同份数制作，甲、乙方按主合同份数收执。</w:t>
      </w:r>
    </w:p>
    <w:p w14:paraId="1C4EE1DE">
      <w:pPr>
        <w:keepNext w:val="0"/>
        <w:keepLines w:val="0"/>
        <w:pageBreakBefore w:val="0"/>
        <w:widowControl/>
        <w:shd w:val="clear"/>
        <w:kinsoku/>
        <w:wordWrap/>
        <w:overflowPunct/>
        <w:topLinePunct w:val="0"/>
        <w:autoSpaceDE/>
        <w:autoSpaceDN/>
        <w:bidi w:val="0"/>
        <w:adjustRightInd w:val="0"/>
        <w:snapToGrid w:val="0"/>
        <w:spacing w:beforeAutospacing="0" w:afterAutospacing="0" w:line="568" w:lineRule="exact"/>
        <w:jc w:val="left"/>
        <w:textAlignment w:val="auto"/>
        <w:rPr>
          <w:rFonts w:hint="eastAsia" w:ascii="仿宋" w:hAnsi="仿宋" w:eastAsia="仿宋" w:cs="仿宋"/>
          <w:color w:val="auto"/>
          <w:kern w:val="0"/>
          <w:sz w:val="24"/>
          <w:szCs w:val="24"/>
          <w:highlight w:val="none"/>
        </w:rPr>
      </w:pPr>
    </w:p>
    <w:p w14:paraId="5BFE1ED3">
      <w:pPr>
        <w:keepNext w:val="0"/>
        <w:keepLines w:val="0"/>
        <w:pageBreakBefore w:val="0"/>
        <w:widowControl/>
        <w:shd w:val="clear"/>
        <w:kinsoku/>
        <w:wordWrap/>
        <w:overflowPunct/>
        <w:topLinePunct w:val="0"/>
        <w:autoSpaceDE/>
        <w:autoSpaceDN/>
        <w:bidi w:val="0"/>
        <w:adjustRightInd w:val="0"/>
        <w:snapToGrid w:val="0"/>
        <w:spacing w:beforeAutospacing="0" w:afterAutospacing="0" w:line="568" w:lineRule="exact"/>
        <w:jc w:val="left"/>
        <w:textAlignment w:val="auto"/>
        <w:rPr>
          <w:rFonts w:hint="eastAsia" w:ascii="仿宋" w:hAnsi="仿宋" w:eastAsia="仿宋" w:cs="仿宋"/>
          <w:color w:val="auto"/>
          <w:kern w:val="0"/>
          <w:sz w:val="24"/>
          <w:szCs w:val="24"/>
          <w:highlight w:val="none"/>
        </w:rPr>
      </w:pPr>
    </w:p>
    <w:p w14:paraId="0A2AB569">
      <w:pPr>
        <w:keepNext w:val="0"/>
        <w:keepLines w:val="0"/>
        <w:pageBreakBefore w:val="0"/>
        <w:widowControl/>
        <w:shd w:val="clear"/>
        <w:kinsoku/>
        <w:wordWrap/>
        <w:overflowPunct/>
        <w:topLinePunct w:val="0"/>
        <w:autoSpaceDE/>
        <w:autoSpaceDN/>
        <w:bidi w:val="0"/>
        <w:adjustRightInd w:val="0"/>
        <w:snapToGrid w:val="0"/>
        <w:spacing w:beforeAutospacing="0" w:afterAutospacing="0" w:line="568" w:lineRule="exact"/>
        <w:jc w:val="left"/>
        <w:textAlignment w:val="auto"/>
        <w:rPr>
          <w:rFonts w:hint="eastAsia" w:ascii="仿宋" w:hAnsi="仿宋" w:eastAsia="仿宋" w:cs="仿宋"/>
          <w:color w:val="auto"/>
          <w:kern w:val="0"/>
          <w:sz w:val="24"/>
          <w:szCs w:val="24"/>
          <w:highlight w:val="none"/>
        </w:rPr>
      </w:pPr>
    </w:p>
    <w:p w14:paraId="39D0D569">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ind w:firstLine="480" w:firstLineChars="200"/>
        <w:textAlignment w:val="auto"/>
        <w:rPr>
          <w:rFonts w:hint="eastAsia" w:ascii="仿宋" w:hAnsi="仿宋" w:eastAsia="仿宋" w:cs="仿宋"/>
          <w:color w:val="auto"/>
          <w:sz w:val="24"/>
          <w:szCs w:val="24"/>
          <w:highlight w:val="none"/>
        </w:rPr>
      </w:pPr>
    </w:p>
    <w:p w14:paraId="2F968C46">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甲方</w:t>
      </w:r>
      <w:r>
        <w:rPr>
          <w:rFonts w:hint="eastAsia" w:ascii="仿宋" w:hAnsi="仿宋" w:eastAsia="仿宋" w:cs="仿宋"/>
          <w:color w:val="auto"/>
          <w:sz w:val="24"/>
          <w:szCs w:val="24"/>
          <w:highlight w:val="none"/>
        </w:rPr>
        <w:t>（盖章）：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lang w:eastAsia="zh-CN"/>
        </w:rPr>
        <w:t>乙方</w:t>
      </w:r>
      <w:r>
        <w:rPr>
          <w:rFonts w:hint="eastAsia" w:ascii="仿宋" w:hAnsi="仿宋" w:eastAsia="仿宋" w:cs="仿宋"/>
          <w:color w:val="auto"/>
          <w:sz w:val="24"/>
          <w:szCs w:val="24"/>
          <w:highlight w:val="none"/>
        </w:rPr>
        <w:t>（盖章）：</w:t>
      </w:r>
      <w:r>
        <w:rPr>
          <w:rFonts w:hint="eastAsia" w:ascii="仿宋" w:hAnsi="仿宋" w:eastAsia="仿宋" w:cs="仿宋"/>
          <w:color w:val="auto"/>
          <w:sz w:val="24"/>
          <w:szCs w:val="24"/>
          <w:highlight w:val="none"/>
          <w:u w:val="single"/>
        </w:rPr>
        <w:t xml:space="preserve">                 </w:t>
      </w:r>
    </w:p>
    <w:p w14:paraId="01C6DB30">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textAlignment w:val="auto"/>
        <w:rPr>
          <w:rFonts w:hint="eastAsia" w:ascii="仿宋" w:hAnsi="仿宋" w:eastAsia="仿宋" w:cs="仿宋"/>
          <w:color w:val="auto"/>
          <w:sz w:val="24"/>
          <w:szCs w:val="24"/>
          <w:highlight w:val="none"/>
        </w:rPr>
      </w:pPr>
    </w:p>
    <w:p w14:paraId="11924CB4">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法定代表人                           法定代表人</w:t>
      </w:r>
    </w:p>
    <w:p w14:paraId="2837C6FE">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或委托代理人（签字）：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或委托代理人（签字）：</w:t>
      </w:r>
      <w:r>
        <w:rPr>
          <w:rFonts w:hint="eastAsia" w:ascii="仿宋" w:hAnsi="仿宋" w:eastAsia="仿宋" w:cs="仿宋"/>
          <w:color w:val="auto"/>
          <w:sz w:val="24"/>
          <w:szCs w:val="24"/>
          <w:highlight w:val="none"/>
          <w:u w:val="single"/>
        </w:rPr>
        <w:t xml:space="preserve">             </w:t>
      </w:r>
    </w:p>
    <w:p w14:paraId="54202C39">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textAlignment w:val="auto"/>
        <w:rPr>
          <w:rFonts w:hint="eastAsia" w:ascii="仿宋" w:hAnsi="仿宋" w:eastAsia="仿宋" w:cs="仿宋"/>
          <w:color w:val="auto"/>
          <w:sz w:val="24"/>
          <w:szCs w:val="24"/>
          <w:highlight w:val="none"/>
        </w:rPr>
      </w:pPr>
    </w:p>
    <w:p w14:paraId="47D5E124">
      <w:pPr>
        <w:keepNext w:val="0"/>
        <w:keepLines w:val="0"/>
        <w:pageBreakBefore w:val="0"/>
        <w:shd w:val="clear"/>
        <w:kinsoku/>
        <w:wordWrap/>
        <w:overflowPunct/>
        <w:topLinePunct w:val="0"/>
        <w:autoSpaceDE/>
        <w:autoSpaceDN/>
        <w:bidi w:val="0"/>
        <w:adjustRightInd w:val="0"/>
        <w:snapToGrid w:val="0"/>
        <w:spacing w:beforeAutospacing="0" w:afterAutospacing="0" w:line="568" w:lineRule="exact"/>
        <w:ind w:right="-315" w:rightChars="-150"/>
        <w:textAlignment w:val="auto"/>
        <w:rPr>
          <w:rFonts w:hint="eastAsia" w:eastAsia="仿宋"/>
          <w:b/>
          <w:color w:val="auto"/>
          <w:highlight w:val="none"/>
          <w:lang w:eastAsia="zh-CN"/>
        </w:rPr>
      </w:pPr>
      <w:r>
        <w:rPr>
          <w:rFonts w:hint="eastAsia" w:ascii="仿宋" w:hAnsi="仿宋" w:eastAsia="仿宋" w:cs="仿宋"/>
          <w:color w:val="auto"/>
          <w:sz w:val="24"/>
          <w:szCs w:val="24"/>
          <w:highlight w:val="none"/>
        </w:rPr>
        <w:t>签订日期：</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日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签订日期：</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w:t>
      </w:r>
    </w:p>
    <w:p w14:paraId="7A6F60DF">
      <w:pPr>
        <w:shd w:val="clea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br w:type="page"/>
      </w:r>
    </w:p>
    <w:p w14:paraId="32EC9892">
      <w:pPr>
        <w:pageBreakBefore w:val="0"/>
        <w:shd w:val="clear"/>
        <w:bidi w:val="0"/>
        <w:adjustRightInd w:val="0"/>
        <w:snapToGrid w:val="0"/>
        <w:spacing w:beforeAutospacing="0" w:afterAutospacing="0" w:line="568" w:lineRule="exact"/>
        <w:rPr>
          <w:rFonts w:hint="eastAsia" w:ascii="仿宋" w:hAnsi="仿宋" w:eastAsia="仿宋" w:cs="仿宋"/>
          <w:b/>
          <w:bCs/>
          <w:color w:val="auto"/>
          <w:sz w:val="28"/>
          <w:szCs w:val="28"/>
          <w:highlight w:val="none"/>
          <w:u w:val="single"/>
        </w:rPr>
      </w:pPr>
      <w:r>
        <w:rPr>
          <w:rFonts w:hint="eastAsia" w:ascii="仿宋" w:hAnsi="仿宋" w:eastAsia="仿宋" w:cs="仿宋"/>
          <w:b/>
          <w:bCs/>
          <w:color w:val="auto"/>
          <w:sz w:val="28"/>
          <w:szCs w:val="28"/>
          <w:highlight w:val="none"/>
        </w:rPr>
        <w:t>附件3</w:t>
      </w:r>
    </w:p>
    <w:p w14:paraId="4B53F340">
      <w:pPr>
        <w:pageBreakBefore w:val="0"/>
        <w:shd w:val="clear"/>
        <w:bidi w:val="0"/>
        <w:adjustRightInd w:val="0"/>
        <w:snapToGrid w:val="0"/>
        <w:spacing w:beforeAutospacing="0" w:afterAutospacing="0" w:line="568"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施工单位工程质量终身责任制承诺书</w:t>
      </w:r>
    </w:p>
    <w:p w14:paraId="73DEB3EF">
      <w:pPr>
        <w:pageBreakBefore w:val="0"/>
        <w:shd w:val="clear"/>
        <w:bidi w:val="0"/>
        <w:adjustRightInd w:val="0"/>
        <w:snapToGrid w:val="0"/>
        <w:spacing w:beforeAutospacing="0" w:afterAutospacing="0" w:line="568"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建设单位：</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w:t>
      </w:r>
    </w:p>
    <w:p w14:paraId="4EF71E36">
      <w:pPr>
        <w:pageBreakBefore w:val="0"/>
        <w:shd w:val="clear"/>
        <w:bidi w:val="0"/>
        <w:adjustRightInd w:val="0"/>
        <w:snapToGrid w:val="0"/>
        <w:spacing w:beforeAutospacing="0" w:afterAutospacing="0" w:line="568" w:lineRule="exact"/>
        <w:jc w:val="left"/>
        <w:rPr>
          <w:rFonts w:hint="default"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工程名称：</w:t>
      </w:r>
      <w:r>
        <w:rPr>
          <w:rFonts w:hint="eastAsia" w:ascii="仿宋" w:hAnsi="仿宋" w:eastAsia="仿宋" w:cs="仿宋"/>
          <w:bCs/>
          <w:color w:val="auto"/>
          <w:sz w:val="24"/>
          <w:szCs w:val="24"/>
          <w:highlight w:val="none"/>
          <w:lang w:val="en-US" w:eastAsia="zh-CN"/>
        </w:rPr>
        <w:t xml:space="preserve"> </w:t>
      </w:r>
    </w:p>
    <w:tbl>
      <w:tblPr>
        <w:tblStyle w:val="26"/>
        <w:tblW w:w="8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4"/>
        <w:gridCol w:w="1511"/>
        <w:gridCol w:w="1324"/>
        <w:gridCol w:w="2648"/>
        <w:gridCol w:w="1441"/>
      </w:tblGrid>
      <w:tr w14:paraId="68497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814" w:type="dxa"/>
            <w:vAlign w:val="center"/>
          </w:tcPr>
          <w:p w14:paraId="0326C549">
            <w:pPr>
              <w:pageBreakBefore w:val="0"/>
              <w:shd w:val="clear"/>
              <w:bidi w:val="0"/>
              <w:adjustRightInd w:val="0"/>
              <w:snapToGrid w:val="0"/>
              <w:spacing w:beforeAutospacing="0" w:afterAutospacing="0" w:line="568"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承诺单位</w:t>
            </w:r>
          </w:p>
        </w:tc>
        <w:tc>
          <w:tcPr>
            <w:tcW w:w="5483" w:type="dxa"/>
            <w:gridSpan w:val="3"/>
            <w:vAlign w:val="center"/>
          </w:tcPr>
          <w:p w14:paraId="20994A18">
            <w:pPr>
              <w:pageBreakBefore w:val="0"/>
              <w:shd w:val="clear"/>
              <w:bidi w:val="0"/>
              <w:adjustRightInd w:val="0"/>
              <w:snapToGrid w:val="0"/>
              <w:spacing w:beforeAutospacing="0" w:afterAutospacing="0" w:line="568"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w:t>
            </w:r>
          </w:p>
        </w:tc>
        <w:tc>
          <w:tcPr>
            <w:tcW w:w="1441" w:type="dxa"/>
            <w:vAlign w:val="center"/>
          </w:tcPr>
          <w:p w14:paraId="530F80E8">
            <w:pPr>
              <w:pageBreakBefore w:val="0"/>
              <w:shd w:val="clear"/>
              <w:bidi w:val="0"/>
              <w:adjustRightInd w:val="0"/>
              <w:snapToGrid w:val="0"/>
              <w:spacing w:beforeAutospacing="0" w:afterAutospacing="0" w:line="568"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承诺人签名</w:t>
            </w:r>
          </w:p>
        </w:tc>
      </w:tr>
      <w:tr w14:paraId="34E3C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814" w:type="dxa"/>
            <w:vAlign w:val="center"/>
          </w:tcPr>
          <w:p w14:paraId="23A773DF">
            <w:pPr>
              <w:pageBreakBefore w:val="0"/>
              <w:shd w:val="clear"/>
              <w:bidi w:val="0"/>
              <w:adjustRightInd w:val="0"/>
              <w:snapToGrid w:val="0"/>
              <w:spacing w:beforeAutospacing="0" w:afterAutospacing="0" w:line="568"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单位法人</w:t>
            </w:r>
          </w:p>
        </w:tc>
        <w:tc>
          <w:tcPr>
            <w:tcW w:w="1511" w:type="dxa"/>
            <w:vAlign w:val="center"/>
          </w:tcPr>
          <w:p w14:paraId="72E21BF9">
            <w:pPr>
              <w:pageBreakBefore w:val="0"/>
              <w:shd w:val="clear"/>
              <w:bidi w:val="0"/>
              <w:adjustRightInd w:val="0"/>
              <w:snapToGrid w:val="0"/>
              <w:spacing w:beforeAutospacing="0" w:afterAutospacing="0" w:line="568" w:lineRule="exact"/>
              <w:jc w:val="center"/>
              <w:rPr>
                <w:rFonts w:hint="default" w:ascii="仿宋" w:hAnsi="仿宋" w:eastAsia="仿宋" w:cs="仿宋"/>
                <w:color w:val="auto"/>
                <w:sz w:val="24"/>
                <w:szCs w:val="24"/>
                <w:highlight w:val="none"/>
                <w:lang w:val="en-US" w:eastAsia="zh-CN"/>
              </w:rPr>
            </w:pPr>
          </w:p>
        </w:tc>
        <w:tc>
          <w:tcPr>
            <w:tcW w:w="1324" w:type="dxa"/>
            <w:vAlign w:val="center"/>
          </w:tcPr>
          <w:p w14:paraId="767EA9C3">
            <w:pPr>
              <w:pageBreakBefore w:val="0"/>
              <w:shd w:val="clear"/>
              <w:bidi w:val="0"/>
              <w:adjustRightInd w:val="0"/>
              <w:snapToGrid w:val="0"/>
              <w:spacing w:beforeAutospacing="0" w:afterAutospacing="0" w:line="568"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身份证号</w:t>
            </w:r>
          </w:p>
        </w:tc>
        <w:tc>
          <w:tcPr>
            <w:tcW w:w="2648" w:type="dxa"/>
            <w:vAlign w:val="center"/>
          </w:tcPr>
          <w:p w14:paraId="66ADCFB9">
            <w:pPr>
              <w:pageBreakBefore w:val="0"/>
              <w:shd w:val="clear"/>
              <w:bidi w:val="0"/>
              <w:adjustRightInd w:val="0"/>
              <w:snapToGrid w:val="0"/>
              <w:spacing w:beforeAutospacing="0" w:afterAutospacing="0" w:line="568" w:lineRule="exact"/>
              <w:jc w:val="center"/>
              <w:rPr>
                <w:rFonts w:hint="eastAsia" w:ascii="仿宋" w:hAnsi="仿宋" w:eastAsia="仿宋" w:cs="仿宋"/>
                <w:color w:val="auto"/>
                <w:sz w:val="24"/>
                <w:szCs w:val="24"/>
                <w:highlight w:val="none"/>
                <w:lang w:eastAsia="zh-CN"/>
              </w:rPr>
            </w:pPr>
          </w:p>
        </w:tc>
        <w:tc>
          <w:tcPr>
            <w:tcW w:w="1441" w:type="dxa"/>
            <w:vAlign w:val="center"/>
          </w:tcPr>
          <w:p w14:paraId="70059AC1">
            <w:pPr>
              <w:pageBreakBefore w:val="0"/>
              <w:shd w:val="clear"/>
              <w:bidi w:val="0"/>
              <w:adjustRightInd w:val="0"/>
              <w:snapToGrid w:val="0"/>
              <w:spacing w:beforeAutospacing="0" w:afterAutospacing="0" w:line="568" w:lineRule="exact"/>
              <w:jc w:val="center"/>
              <w:rPr>
                <w:rFonts w:hint="eastAsia" w:ascii="仿宋" w:hAnsi="仿宋" w:eastAsia="仿宋" w:cs="仿宋"/>
                <w:color w:val="auto"/>
                <w:sz w:val="24"/>
                <w:szCs w:val="24"/>
                <w:highlight w:val="none"/>
              </w:rPr>
            </w:pPr>
          </w:p>
        </w:tc>
      </w:tr>
      <w:tr w14:paraId="4DAFD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14" w:type="dxa"/>
            <w:vAlign w:val="center"/>
          </w:tcPr>
          <w:p w14:paraId="4D6BC85A">
            <w:pPr>
              <w:pageBreakBefore w:val="0"/>
              <w:shd w:val="clear"/>
              <w:bidi w:val="0"/>
              <w:adjustRightInd w:val="0"/>
              <w:snapToGrid w:val="0"/>
              <w:spacing w:beforeAutospacing="0" w:afterAutospacing="0" w:line="568"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项目负责人</w:t>
            </w:r>
          </w:p>
        </w:tc>
        <w:tc>
          <w:tcPr>
            <w:tcW w:w="1511" w:type="dxa"/>
            <w:vAlign w:val="center"/>
          </w:tcPr>
          <w:p w14:paraId="51D920CC">
            <w:pPr>
              <w:pageBreakBefore w:val="0"/>
              <w:shd w:val="clear"/>
              <w:bidi w:val="0"/>
              <w:adjustRightInd w:val="0"/>
              <w:snapToGrid w:val="0"/>
              <w:spacing w:beforeAutospacing="0" w:afterAutospacing="0" w:line="568" w:lineRule="exact"/>
              <w:jc w:val="center"/>
              <w:rPr>
                <w:rFonts w:hint="default" w:ascii="仿宋" w:hAnsi="仿宋" w:eastAsia="仿宋" w:cs="仿宋"/>
                <w:color w:val="auto"/>
                <w:sz w:val="24"/>
                <w:szCs w:val="24"/>
                <w:highlight w:val="none"/>
                <w:lang w:val="en-US" w:eastAsia="zh-CN"/>
              </w:rPr>
            </w:pPr>
          </w:p>
        </w:tc>
        <w:tc>
          <w:tcPr>
            <w:tcW w:w="1324" w:type="dxa"/>
            <w:vAlign w:val="center"/>
          </w:tcPr>
          <w:p w14:paraId="66B15F52">
            <w:pPr>
              <w:pageBreakBefore w:val="0"/>
              <w:shd w:val="clear"/>
              <w:bidi w:val="0"/>
              <w:adjustRightInd w:val="0"/>
              <w:snapToGrid w:val="0"/>
              <w:spacing w:beforeAutospacing="0" w:afterAutospacing="0" w:line="568"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身份证号</w:t>
            </w:r>
          </w:p>
        </w:tc>
        <w:tc>
          <w:tcPr>
            <w:tcW w:w="2648" w:type="dxa"/>
            <w:vAlign w:val="center"/>
          </w:tcPr>
          <w:p w14:paraId="6A31CCDB">
            <w:pPr>
              <w:pageBreakBefore w:val="0"/>
              <w:shd w:val="clear"/>
              <w:bidi w:val="0"/>
              <w:adjustRightInd w:val="0"/>
              <w:snapToGrid w:val="0"/>
              <w:spacing w:beforeAutospacing="0" w:afterAutospacing="0" w:line="568" w:lineRule="exact"/>
              <w:jc w:val="center"/>
              <w:rPr>
                <w:rFonts w:hint="eastAsia" w:ascii="仿宋" w:hAnsi="仿宋" w:eastAsia="仿宋" w:cs="仿宋"/>
                <w:color w:val="auto"/>
                <w:sz w:val="24"/>
                <w:szCs w:val="24"/>
                <w:highlight w:val="none"/>
                <w:lang w:val="en-US" w:eastAsia="zh-CN"/>
              </w:rPr>
            </w:pPr>
          </w:p>
        </w:tc>
        <w:tc>
          <w:tcPr>
            <w:tcW w:w="1441" w:type="dxa"/>
            <w:vAlign w:val="center"/>
          </w:tcPr>
          <w:p w14:paraId="31010234">
            <w:pPr>
              <w:pageBreakBefore w:val="0"/>
              <w:shd w:val="clear"/>
              <w:bidi w:val="0"/>
              <w:adjustRightInd w:val="0"/>
              <w:snapToGrid w:val="0"/>
              <w:spacing w:beforeAutospacing="0" w:afterAutospacing="0" w:line="568" w:lineRule="exact"/>
              <w:jc w:val="center"/>
              <w:rPr>
                <w:rFonts w:hint="eastAsia" w:ascii="仿宋" w:hAnsi="仿宋" w:eastAsia="仿宋" w:cs="仿宋"/>
                <w:color w:val="auto"/>
                <w:sz w:val="24"/>
                <w:szCs w:val="24"/>
                <w:highlight w:val="none"/>
              </w:rPr>
            </w:pPr>
          </w:p>
        </w:tc>
      </w:tr>
      <w:tr w14:paraId="06C32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814" w:type="dxa"/>
            <w:vAlign w:val="center"/>
          </w:tcPr>
          <w:p w14:paraId="123562ED">
            <w:pPr>
              <w:pageBreakBefore w:val="0"/>
              <w:shd w:val="clear"/>
              <w:bidi w:val="0"/>
              <w:adjustRightInd w:val="0"/>
              <w:snapToGrid w:val="0"/>
              <w:spacing w:beforeAutospacing="0" w:afterAutospacing="0" w:line="568"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技术负责人</w:t>
            </w:r>
          </w:p>
        </w:tc>
        <w:tc>
          <w:tcPr>
            <w:tcW w:w="1511" w:type="dxa"/>
            <w:vAlign w:val="center"/>
          </w:tcPr>
          <w:p w14:paraId="38D45520">
            <w:pPr>
              <w:pageBreakBefore w:val="0"/>
              <w:shd w:val="clear"/>
              <w:bidi w:val="0"/>
              <w:adjustRightInd w:val="0"/>
              <w:snapToGrid w:val="0"/>
              <w:spacing w:beforeAutospacing="0" w:afterAutospacing="0" w:line="568" w:lineRule="exact"/>
              <w:jc w:val="center"/>
              <w:rPr>
                <w:rFonts w:hint="default" w:ascii="仿宋" w:hAnsi="仿宋" w:eastAsia="仿宋" w:cs="仿宋"/>
                <w:color w:val="auto"/>
                <w:sz w:val="24"/>
                <w:szCs w:val="24"/>
                <w:highlight w:val="none"/>
                <w:lang w:val="en-US" w:eastAsia="zh-CN"/>
              </w:rPr>
            </w:pPr>
          </w:p>
        </w:tc>
        <w:tc>
          <w:tcPr>
            <w:tcW w:w="1324" w:type="dxa"/>
            <w:vAlign w:val="center"/>
          </w:tcPr>
          <w:p w14:paraId="054825B5">
            <w:pPr>
              <w:pageBreakBefore w:val="0"/>
              <w:shd w:val="clear"/>
              <w:bidi w:val="0"/>
              <w:adjustRightInd w:val="0"/>
              <w:snapToGrid w:val="0"/>
              <w:spacing w:beforeAutospacing="0" w:afterAutospacing="0" w:line="568"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身份证号</w:t>
            </w:r>
          </w:p>
        </w:tc>
        <w:tc>
          <w:tcPr>
            <w:tcW w:w="2648" w:type="dxa"/>
            <w:vAlign w:val="center"/>
          </w:tcPr>
          <w:p w14:paraId="639092EA">
            <w:pPr>
              <w:pageBreakBefore w:val="0"/>
              <w:shd w:val="clear"/>
              <w:bidi w:val="0"/>
              <w:adjustRightInd w:val="0"/>
              <w:snapToGrid w:val="0"/>
              <w:spacing w:beforeAutospacing="0" w:afterAutospacing="0" w:line="568" w:lineRule="exact"/>
              <w:jc w:val="center"/>
              <w:rPr>
                <w:rFonts w:hint="eastAsia" w:ascii="仿宋" w:hAnsi="仿宋" w:eastAsia="仿宋" w:cs="仿宋"/>
                <w:color w:val="auto"/>
                <w:sz w:val="24"/>
                <w:szCs w:val="24"/>
                <w:highlight w:val="none"/>
                <w:lang w:val="en-US" w:eastAsia="zh-CN"/>
              </w:rPr>
            </w:pPr>
          </w:p>
        </w:tc>
        <w:tc>
          <w:tcPr>
            <w:tcW w:w="1441" w:type="dxa"/>
            <w:vAlign w:val="center"/>
          </w:tcPr>
          <w:p w14:paraId="09952292">
            <w:pPr>
              <w:pageBreakBefore w:val="0"/>
              <w:shd w:val="clear"/>
              <w:bidi w:val="0"/>
              <w:adjustRightInd w:val="0"/>
              <w:snapToGrid w:val="0"/>
              <w:spacing w:beforeAutospacing="0" w:afterAutospacing="0" w:line="568" w:lineRule="exact"/>
              <w:jc w:val="center"/>
              <w:rPr>
                <w:rFonts w:hint="eastAsia" w:ascii="仿宋" w:hAnsi="仿宋" w:eastAsia="仿宋" w:cs="仿宋"/>
                <w:color w:val="auto"/>
                <w:sz w:val="24"/>
                <w:szCs w:val="24"/>
                <w:highlight w:val="none"/>
              </w:rPr>
            </w:pPr>
          </w:p>
        </w:tc>
      </w:tr>
      <w:tr w14:paraId="151A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814" w:type="dxa"/>
            <w:vAlign w:val="center"/>
          </w:tcPr>
          <w:p w14:paraId="04F28A29">
            <w:pPr>
              <w:pageBreakBefore w:val="0"/>
              <w:shd w:val="clear"/>
              <w:bidi w:val="0"/>
              <w:adjustRightInd w:val="0"/>
              <w:snapToGrid w:val="0"/>
              <w:spacing w:beforeAutospacing="0" w:afterAutospacing="0" w:line="568"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施工员</w:t>
            </w:r>
          </w:p>
        </w:tc>
        <w:tc>
          <w:tcPr>
            <w:tcW w:w="1511" w:type="dxa"/>
            <w:vAlign w:val="center"/>
          </w:tcPr>
          <w:p w14:paraId="130EA30E">
            <w:pPr>
              <w:pageBreakBefore w:val="0"/>
              <w:shd w:val="clear"/>
              <w:bidi w:val="0"/>
              <w:adjustRightInd w:val="0"/>
              <w:snapToGrid w:val="0"/>
              <w:spacing w:beforeAutospacing="0" w:afterAutospacing="0" w:line="568" w:lineRule="exact"/>
              <w:jc w:val="center"/>
              <w:rPr>
                <w:rFonts w:hint="default" w:ascii="仿宋" w:hAnsi="仿宋" w:eastAsia="仿宋" w:cs="仿宋"/>
                <w:color w:val="auto"/>
                <w:sz w:val="24"/>
                <w:szCs w:val="24"/>
                <w:highlight w:val="none"/>
                <w:lang w:val="en-US" w:eastAsia="zh-CN"/>
              </w:rPr>
            </w:pPr>
          </w:p>
        </w:tc>
        <w:tc>
          <w:tcPr>
            <w:tcW w:w="1324" w:type="dxa"/>
            <w:vAlign w:val="center"/>
          </w:tcPr>
          <w:p w14:paraId="345A9A93">
            <w:pPr>
              <w:pageBreakBefore w:val="0"/>
              <w:shd w:val="clear"/>
              <w:bidi w:val="0"/>
              <w:adjustRightInd w:val="0"/>
              <w:snapToGrid w:val="0"/>
              <w:spacing w:beforeAutospacing="0" w:afterAutospacing="0" w:line="568"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身份证号</w:t>
            </w:r>
          </w:p>
        </w:tc>
        <w:tc>
          <w:tcPr>
            <w:tcW w:w="2648" w:type="dxa"/>
            <w:vAlign w:val="center"/>
          </w:tcPr>
          <w:p w14:paraId="279F4B56">
            <w:pPr>
              <w:pageBreakBefore w:val="0"/>
              <w:shd w:val="clear"/>
              <w:bidi w:val="0"/>
              <w:adjustRightInd w:val="0"/>
              <w:snapToGrid w:val="0"/>
              <w:spacing w:beforeAutospacing="0" w:afterAutospacing="0" w:line="568" w:lineRule="exact"/>
              <w:jc w:val="center"/>
              <w:rPr>
                <w:rFonts w:hint="eastAsia" w:ascii="仿宋" w:hAnsi="仿宋" w:eastAsia="仿宋" w:cs="仿宋"/>
                <w:color w:val="auto"/>
                <w:sz w:val="24"/>
                <w:szCs w:val="24"/>
                <w:highlight w:val="none"/>
                <w:lang w:eastAsia="zh-CN"/>
              </w:rPr>
            </w:pPr>
          </w:p>
        </w:tc>
        <w:tc>
          <w:tcPr>
            <w:tcW w:w="1441" w:type="dxa"/>
            <w:vAlign w:val="center"/>
          </w:tcPr>
          <w:p w14:paraId="31CAFE4C">
            <w:pPr>
              <w:pageBreakBefore w:val="0"/>
              <w:shd w:val="clear"/>
              <w:bidi w:val="0"/>
              <w:adjustRightInd w:val="0"/>
              <w:snapToGrid w:val="0"/>
              <w:spacing w:beforeAutospacing="0" w:afterAutospacing="0" w:line="568" w:lineRule="exact"/>
              <w:jc w:val="center"/>
              <w:rPr>
                <w:rFonts w:hint="eastAsia" w:ascii="仿宋" w:hAnsi="仿宋" w:eastAsia="仿宋" w:cs="仿宋"/>
                <w:color w:val="auto"/>
                <w:sz w:val="24"/>
                <w:szCs w:val="24"/>
                <w:highlight w:val="none"/>
              </w:rPr>
            </w:pPr>
          </w:p>
        </w:tc>
      </w:tr>
      <w:tr w14:paraId="5A843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814" w:type="dxa"/>
            <w:vAlign w:val="center"/>
          </w:tcPr>
          <w:p w14:paraId="7784A8E3">
            <w:pPr>
              <w:pageBreakBefore w:val="0"/>
              <w:shd w:val="clear"/>
              <w:bidi w:val="0"/>
              <w:adjustRightInd w:val="0"/>
              <w:snapToGrid w:val="0"/>
              <w:spacing w:beforeAutospacing="0" w:afterAutospacing="0" w:line="568"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安全员</w:t>
            </w:r>
          </w:p>
        </w:tc>
        <w:tc>
          <w:tcPr>
            <w:tcW w:w="1511" w:type="dxa"/>
            <w:vAlign w:val="center"/>
          </w:tcPr>
          <w:p w14:paraId="12C38AEB">
            <w:pPr>
              <w:pageBreakBefore w:val="0"/>
              <w:shd w:val="clear"/>
              <w:bidi w:val="0"/>
              <w:adjustRightInd w:val="0"/>
              <w:snapToGrid w:val="0"/>
              <w:spacing w:beforeAutospacing="0" w:afterAutospacing="0" w:line="568" w:lineRule="exact"/>
              <w:jc w:val="center"/>
              <w:rPr>
                <w:rFonts w:hint="default" w:ascii="仿宋" w:hAnsi="仿宋" w:eastAsia="仿宋" w:cs="仿宋"/>
                <w:color w:val="auto"/>
                <w:sz w:val="24"/>
                <w:szCs w:val="24"/>
                <w:highlight w:val="none"/>
                <w:lang w:val="en-US" w:eastAsia="zh-CN"/>
              </w:rPr>
            </w:pPr>
          </w:p>
        </w:tc>
        <w:tc>
          <w:tcPr>
            <w:tcW w:w="1324" w:type="dxa"/>
            <w:vAlign w:val="center"/>
          </w:tcPr>
          <w:p w14:paraId="0F3357F4">
            <w:pPr>
              <w:pageBreakBefore w:val="0"/>
              <w:shd w:val="clear"/>
              <w:bidi w:val="0"/>
              <w:adjustRightInd w:val="0"/>
              <w:snapToGrid w:val="0"/>
              <w:spacing w:beforeAutospacing="0" w:afterAutospacing="0" w:line="568"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身份证号</w:t>
            </w:r>
          </w:p>
        </w:tc>
        <w:tc>
          <w:tcPr>
            <w:tcW w:w="2648" w:type="dxa"/>
            <w:vAlign w:val="center"/>
          </w:tcPr>
          <w:p w14:paraId="50E22045">
            <w:pPr>
              <w:pageBreakBefore w:val="0"/>
              <w:shd w:val="clear"/>
              <w:bidi w:val="0"/>
              <w:adjustRightInd w:val="0"/>
              <w:snapToGrid w:val="0"/>
              <w:spacing w:beforeAutospacing="0" w:afterAutospacing="0" w:line="568" w:lineRule="exact"/>
              <w:jc w:val="center"/>
              <w:rPr>
                <w:rFonts w:hint="eastAsia" w:ascii="仿宋" w:hAnsi="仿宋" w:eastAsia="仿宋" w:cs="仿宋"/>
                <w:color w:val="auto"/>
                <w:sz w:val="24"/>
                <w:szCs w:val="24"/>
                <w:highlight w:val="none"/>
                <w:lang w:eastAsia="zh-CN"/>
              </w:rPr>
            </w:pPr>
          </w:p>
        </w:tc>
        <w:tc>
          <w:tcPr>
            <w:tcW w:w="1441" w:type="dxa"/>
            <w:vAlign w:val="center"/>
          </w:tcPr>
          <w:p w14:paraId="1F4D8A40">
            <w:pPr>
              <w:pageBreakBefore w:val="0"/>
              <w:shd w:val="clear"/>
              <w:bidi w:val="0"/>
              <w:adjustRightInd w:val="0"/>
              <w:snapToGrid w:val="0"/>
              <w:spacing w:beforeAutospacing="0" w:afterAutospacing="0" w:line="568" w:lineRule="exact"/>
              <w:jc w:val="center"/>
              <w:rPr>
                <w:rFonts w:hint="eastAsia" w:ascii="仿宋" w:hAnsi="仿宋" w:eastAsia="仿宋" w:cs="仿宋"/>
                <w:color w:val="auto"/>
                <w:sz w:val="24"/>
                <w:szCs w:val="24"/>
                <w:highlight w:val="none"/>
              </w:rPr>
            </w:pPr>
          </w:p>
        </w:tc>
      </w:tr>
    </w:tbl>
    <w:p w14:paraId="6BEE66C6">
      <w:pPr>
        <w:pageBreakBefore w:val="0"/>
        <w:shd w:val="clear"/>
        <w:bidi w:val="0"/>
        <w:adjustRightInd w:val="0"/>
        <w:snapToGrid w:val="0"/>
        <w:spacing w:beforeAutospacing="0" w:afterAutospacing="0" w:line="568"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本人承诺在该工程建设过程中一定认真履行下列相应职责，并承担相应终身质量责任。</w:t>
      </w:r>
    </w:p>
    <w:p w14:paraId="4AA2951E">
      <w:pPr>
        <w:pageBreakBefore w:val="0"/>
        <w:shd w:val="clear"/>
        <w:bidi w:val="0"/>
        <w:adjustRightInd w:val="0"/>
        <w:snapToGrid w:val="0"/>
        <w:spacing w:beforeAutospacing="0" w:afterAutospacing="0" w:line="568"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1、在资质等级许可的业务范围承揽工程，不允许其他单位或个人以本单位名义承揽工程，承揽工程后依法签订承包合同，在领取施工许可证后，方进行施工。</w:t>
      </w:r>
    </w:p>
    <w:p w14:paraId="2CD9A369">
      <w:pPr>
        <w:pageBreakBefore w:val="0"/>
        <w:shd w:val="clear"/>
        <w:bidi w:val="0"/>
        <w:adjustRightInd w:val="0"/>
        <w:snapToGrid w:val="0"/>
        <w:spacing w:beforeAutospacing="0" w:afterAutospacing="0" w:line="568"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2、未经建设单位同意，不将承包工程的任何部分随意分包。不将承包的全部工程转包或将承包的全部工程肢解后以分包的名义分别转包给他人。</w:t>
      </w:r>
    </w:p>
    <w:p w14:paraId="679B965F">
      <w:pPr>
        <w:pageBreakBefore w:val="0"/>
        <w:shd w:val="clear"/>
        <w:bidi w:val="0"/>
        <w:adjustRightInd w:val="0"/>
        <w:snapToGrid w:val="0"/>
        <w:spacing w:beforeAutospacing="0" w:afterAutospacing="0" w:line="568"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3、严格按规定配备施工项目部关键岗位人员，并确保所有人员到岗履职。</w:t>
      </w:r>
    </w:p>
    <w:p w14:paraId="3860026B">
      <w:pPr>
        <w:pageBreakBefore w:val="0"/>
        <w:shd w:val="clear"/>
        <w:bidi w:val="0"/>
        <w:adjustRightInd w:val="0"/>
        <w:snapToGrid w:val="0"/>
        <w:spacing w:beforeAutospacing="0" w:afterAutospacing="0" w:line="568"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严格按照经施工图审查机构审查合格并加盖了专用章的工程设计文件以及施工技术标准和合同约定的质量标准精心组织施工，不擅自修改工程设计，不偷工减料。并对施工中采用的建筑材料、建筑构配件、设备和商品砼严格按规定进行见证取样检验，检验后应有书面记录，并有专人签字；未经检验或者 检验不合格的，不使用于工程。</w:t>
      </w:r>
    </w:p>
    <w:p w14:paraId="2BDE466C">
      <w:pPr>
        <w:pageBreakBefore w:val="0"/>
        <w:shd w:val="clear"/>
        <w:bidi w:val="0"/>
        <w:adjustRightInd w:val="0"/>
        <w:snapToGrid w:val="0"/>
        <w:spacing w:beforeAutospacing="0" w:afterAutospacing="0" w:line="568"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5、建立、健全质量的检查验收制度，严格工序管理，做好隐蔽工程的质量检查和记录。隐蔽工程在隐蔽前，及时通知建设、设计、监理单位和工程质量监督机构检查验收。</w:t>
      </w:r>
    </w:p>
    <w:p w14:paraId="2A799051">
      <w:pPr>
        <w:pageBreakBefore w:val="0"/>
        <w:shd w:val="clear"/>
        <w:bidi w:val="0"/>
        <w:adjustRightInd w:val="0"/>
        <w:snapToGrid w:val="0"/>
        <w:spacing w:beforeAutospacing="0" w:afterAutospacing="0" w:line="568"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6、资料收集真实、准确完整，签章手续齐全，并及时整理移交建设单位归档。</w:t>
      </w:r>
    </w:p>
    <w:p w14:paraId="1D58608D">
      <w:pPr>
        <w:pageBreakBefore w:val="0"/>
        <w:shd w:val="clear"/>
        <w:bidi w:val="0"/>
        <w:adjustRightInd w:val="0"/>
        <w:snapToGrid w:val="0"/>
        <w:spacing w:beforeAutospacing="0" w:afterAutospacing="0" w:line="568"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对施工中出现的质量问题或竣工验收不合格的工程，负责返修。向建设单位出具质量保修书，保修书中明确建设工程的保修范围、保修期限和保修责任等。建设工程在保修范围和期限内发生质量问题，严格依法依规履行保修义务，并对造成的损失承担赔偿责任。</w:t>
      </w:r>
    </w:p>
    <w:p w14:paraId="5F480698">
      <w:pPr>
        <w:pageBreakBefore w:val="0"/>
        <w:shd w:val="clear"/>
        <w:bidi w:val="0"/>
        <w:adjustRightInd w:val="0"/>
        <w:snapToGrid w:val="0"/>
        <w:spacing w:beforeAutospacing="0" w:afterAutospacing="0" w:line="568"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8、其他法律法规规定的职责。</w:t>
      </w:r>
    </w:p>
    <w:p w14:paraId="45B1B899">
      <w:pPr>
        <w:pageBreakBefore w:val="0"/>
        <w:shd w:val="clear"/>
        <w:bidi w:val="0"/>
        <w:adjustRightInd w:val="0"/>
        <w:snapToGrid w:val="0"/>
        <w:spacing w:beforeAutospacing="0" w:afterAutospacing="0" w:line="568"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本承诺书</w:t>
      </w:r>
      <w:r>
        <w:rPr>
          <w:rFonts w:hint="eastAsia" w:ascii="仿宋" w:hAnsi="仿宋" w:eastAsia="仿宋" w:cs="仿宋"/>
          <w:color w:val="auto"/>
          <w:kern w:val="0"/>
          <w:sz w:val="24"/>
          <w:szCs w:val="24"/>
          <w:highlight w:val="none"/>
        </w:rPr>
        <w:t>按主合同份数制作，并按主合同份数收执</w:t>
      </w:r>
      <w:r>
        <w:rPr>
          <w:rFonts w:hint="eastAsia" w:ascii="仿宋" w:hAnsi="仿宋" w:eastAsia="仿宋" w:cs="仿宋"/>
          <w:color w:val="auto"/>
          <w:sz w:val="24"/>
          <w:szCs w:val="24"/>
          <w:highlight w:val="none"/>
        </w:rPr>
        <w:t>。</w:t>
      </w:r>
    </w:p>
    <w:p w14:paraId="30830274">
      <w:pPr>
        <w:pageBreakBefore w:val="0"/>
        <w:shd w:val="clear"/>
        <w:bidi w:val="0"/>
        <w:adjustRightInd w:val="0"/>
        <w:snapToGrid w:val="0"/>
        <w:spacing w:beforeAutospacing="0" w:afterAutospacing="0" w:line="568" w:lineRule="exact"/>
        <w:ind w:firstLine="5280" w:firstLineChars="2200"/>
        <w:jc w:val="left"/>
        <w:rPr>
          <w:rFonts w:hint="eastAsia" w:ascii="仿宋" w:hAnsi="仿宋" w:eastAsia="仿宋" w:cs="仿宋"/>
          <w:color w:val="auto"/>
          <w:sz w:val="24"/>
          <w:szCs w:val="24"/>
          <w:highlight w:val="none"/>
        </w:rPr>
      </w:pPr>
    </w:p>
    <w:p w14:paraId="076988B3">
      <w:pPr>
        <w:pageBreakBefore w:val="0"/>
        <w:shd w:val="clear"/>
        <w:bidi w:val="0"/>
        <w:adjustRightInd w:val="0"/>
        <w:snapToGrid w:val="0"/>
        <w:spacing w:beforeAutospacing="0" w:afterAutospacing="0" w:line="568" w:lineRule="exact"/>
        <w:ind w:firstLine="4560" w:firstLineChars="19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施工单位：（</w:t>
      </w:r>
      <w:r>
        <w:rPr>
          <w:rFonts w:hint="eastAsia" w:ascii="仿宋" w:hAnsi="仿宋" w:eastAsia="仿宋" w:cs="仿宋"/>
          <w:color w:val="auto"/>
          <w:sz w:val="24"/>
          <w:szCs w:val="24"/>
          <w:highlight w:val="none"/>
          <w:lang w:eastAsia="zh-CN"/>
        </w:rPr>
        <w:t>盖章</w:t>
      </w:r>
      <w:r>
        <w:rPr>
          <w:rFonts w:hint="eastAsia" w:ascii="仿宋" w:hAnsi="仿宋" w:eastAsia="仿宋" w:cs="仿宋"/>
          <w:color w:val="auto"/>
          <w:sz w:val="24"/>
          <w:szCs w:val="24"/>
          <w:highlight w:val="none"/>
        </w:rPr>
        <w:t xml:space="preserve">）  </w:t>
      </w:r>
    </w:p>
    <w:p w14:paraId="0B2CDA26">
      <w:pPr>
        <w:pageBreakBefore w:val="0"/>
        <w:shd w:val="clear"/>
        <w:bidi w:val="0"/>
        <w:adjustRightInd w:val="0"/>
        <w:snapToGrid w:val="0"/>
        <w:spacing w:beforeAutospacing="0" w:afterAutospacing="0" w:line="568" w:lineRule="exact"/>
        <w:ind w:firstLine="4560" w:firstLineChars="19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p w14:paraId="7D541BDC">
      <w:pPr>
        <w:pageBreakBefore w:val="0"/>
        <w:shd w:val="clear"/>
        <w:bidi w:val="0"/>
        <w:adjustRightInd w:val="0"/>
        <w:snapToGrid w:val="0"/>
        <w:spacing w:beforeAutospacing="0" w:afterAutospacing="0" w:line="568" w:lineRule="exact"/>
        <w:ind w:firstLine="4560" w:firstLineChars="19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法定代表人（签字）： </w:t>
      </w:r>
    </w:p>
    <w:p w14:paraId="58DF105C">
      <w:pPr>
        <w:pStyle w:val="2"/>
        <w:pageBreakBefore w:val="0"/>
        <w:shd w:val="clear"/>
        <w:bidi w:val="0"/>
        <w:adjustRightInd w:val="0"/>
        <w:snapToGrid w:val="0"/>
        <w:spacing w:beforeAutospacing="0" w:afterAutospacing="0" w:line="568" w:lineRule="exact"/>
        <w:ind w:firstLine="480"/>
        <w:rPr>
          <w:rFonts w:hint="eastAsia" w:ascii="仿宋" w:hAnsi="仿宋" w:eastAsia="仿宋" w:cs="仿宋"/>
          <w:color w:val="auto"/>
          <w:sz w:val="24"/>
          <w:szCs w:val="24"/>
          <w:highlight w:val="none"/>
          <w:lang w:eastAsia="zh-CN"/>
        </w:rPr>
      </w:pPr>
    </w:p>
    <w:p w14:paraId="114A84C4">
      <w:pPr>
        <w:pageBreakBefore w:val="0"/>
        <w:shd w:val="clear"/>
        <w:bidi w:val="0"/>
        <w:adjustRightInd w:val="0"/>
        <w:snapToGrid w:val="0"/>
        <w:spacing w:beforeAutospacing="0" w:afterAutospacing="0" w:line="568" w:lineRule="exac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 xml:space="preserve">                                      日期：</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w:t>
      </w:r>
    </w:p>
    <w:p w14:paraId="658CC6B2">
      <w:pPr>
        <w:shd w:val="clea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br w:type="page"/>
      </w:r>
    </w:p>
    <w:p w14:paraId="75C9FAB6">
      <w:pPr>
        <w:pageBreakBefore w:val="0"/>
        <w:shd w:val="clear"/>
        <w:bidi w:val="0"/>
        <w:adjustRightInd w:val="0"/>
        <w:snapToGrid w:val="0"/>
        <w:spacing w:beforeAutospacing="0" w:afterAutospacing="0" w:line="568" w:lineRule="exac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附件4</w:t>
      </w:r>
    </w:p>
    <w:p w14:paraId="38E41038">
      <w:pPr>
        <w:pageBreakBefore w:val="0"/>
        <w:shd w:val="clear"/>
        <w:bidi w:val="0"/>
        <w:adjustRightInd w:val="0"/>
        <w:snapToGrid w:val="0"/>
        <w:spacing w:beforeAutospacing="0" w:afterAutospacing="0" w:line="568" w:lineRule="exact"/>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施工单位项目经理工程质量终身责任承诺书</w:t>
      </w:r>
    </w:p>
    <w:tbl>
      <w:tblPr>
        <w:tblStyle w:val="26"/>
        <w:tblW w:w="9263" w:type="dxa"/>
        <w:tblInd w:w="-5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825"/>
        <w:gridCol w:w="1365"/>
        <w:gridCol w:w="2453"/>
      </w:tblGrid>
      <w:tr w14:paraId="096F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620" w:type="dxa"/>
            <w:shd w:val="clear" w:color="auto" w:fill="auto"/>
            <w:vAlign w:val="center"/>
          </w:tcPr>
          <w:p w14:paraId="41BB170C">
            <w:pPr>
              <w:pageBreakBefore w:val="0"/>
              <w:shd w:val="clear"/>
              <w:bidi w:val="0"/>
              <w:adjustRightInd w:val="0"/>
              <w:snapToGrid w:val="0"/>
              <w:spacing w:beforeAutospacing="0" w:afterAutospacing="0" w:line="240" w:lineRule="auto"/>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工程名称</w:t>
            </w:r>
          </w:p>
        </w:tc>
        <w:tc>
          <w:tcPr>
            <w:tcW w:w="3825" w:type="dxa"/>
            <w:shd w:val="clear" w:color="auto" w:fill="auto"/>
            <w:vAlign w:val="center"/>
          </w:tcPr>
          <w:p w14:paraId="58CBB463">
            <w:pPr>
              <w:pageBreakBefore w:val="0"/>
              <w:shd w:val="clear"/>
              <w:bidi w:val="0"/>
              <w:adjustRightInd w:val="0"/>
              <w:snapToGrid w:val="0"/>
              <w:spacing w:beforeAutospacing="0" w:afterAutospacing="0" w:line="240" w:lineRule="auto"/>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芙蓉生态新城六号安置小区（一期）外墙防水工程项目</w:t>
            </w:r>
            <w:r>
              <w:rPr>
                <w:rFonts w:hint="eastAsia" w:ascii="仿宋" w:hAnsi="仿宋" w:eastAsia="仿宋" w:cs="仿宋"/>
                <w:color w:val="auto"/>
                <w:sz w:val="21"/>
                <w:szCs w:val="21"/>
                <w:highlight w:val="none"/>
              </w:rPr>
              <w:t xml:space="preserve">     </w:t>
            </w:r>
          </w:p>
        </w:tc>
        <w:tc>
          <w:tcPr>
            <w:tcW w:w="1365" w:type="dxa"/>
            <w:vMerge w:val="restart"/>
            <w:shd w:val="clear" w:color="auto" w:fill="auto"/>
            <w:vAlign w:val="center"/>
          </w:tcPr>
          <w:p w14:paraId="72B9A3A0">
            <w:pPr>
              <w:pageBreakBefore w:val="0"/>
              <w:shd w:val="clear"/>
              <w:bidi w:val="0"/>
              <w:adjustRightInd w:val="0"/>
              <w:snapToGrid w:val="0"/>
              <w:spacing w:beforeAutospacing="0" w:afterAutospacing="0" w:line="240" w:lineRule="auto"/>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法人代表姓名及身份证号码</w:t>
            </w:r>
          </w:p>
        </w:tc>
        <w:tc>
          <w:tcPr>
            <w:tcW w:w="2453" w:type="dxa"/>
            <w:shd w:val="clear" w:color="auto" w:fill="auto"/>
            <w:vAlign w:val="center"/>
          </w:tcPr>
          <w:p w14:paraId="467F8FA3">
            <w:pPr>
              <w:pageBreakBefore w:val="0"/>
              <w:shd w:val="clear"/>
              <w:bidi w:val="0"/>
              <w:adjustRightInd w:val="0"/>
              <w:snapToGrid w:val="0"/>
              <w:spacing w:beforeAutospacing="0" w:afterAutospacing="0" w:line="240" w:lineRule="auto"/>
              <w:jc w:val="center"/>
              <w:rPr>
                <w:rFonts w:hint="default" w:ascii="仿宋" w:hAnsi="仿宋" w:eastAsia="仿宋" w:cs="仿宋"/>
                <w:color w:val="auto"/>
                <w:sz w:val="21"/>
                <w:szCs w:val="21"/>
                <w:highlight w:val="none"/>
                <w:lang w:val="en-US" w:eastAsia="zh-CN"/>
              </w:rPr>
            </w:pPr>
          </w:p>
        </w:tc>
      </w:tr>
      <w:tr w14:paraId="72C8D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620" w:type="dxa"/>
            <w:shd w:val="clear" w:color="auto" w:fill="auto"/>
            <w:vAlign w:val="center"/>
          </w:tcPr>
          <w:p w14:paraId="141694AD">
            <w:pPr>
              <w:pageBreakBefore w:val="0"/>
              <w:shd w:val="clear"/>
              <w:bidi w:val="0"/>
              <w:adjustRightInd w:val="0"/>
              <w:snapToGrid w:val="0"/>
              <w:spacing w:beforeAutospacing="0" w:afterAutospacing="0" w:line="240" w:lineRule="auto"/>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施工单位</w:t>
            </w:r>
          </w:p>
        </w:tc>
        <w:tc>
          <w:tcPr>
            <w:tcW w:w="3825" w:type="dxa"/>
            <w:shd w:val="clear" w:color="auto" w:fill="auto"/>
            <w:vAlign w:val="center"/>
          </w:tcPr>
          <w:p w14:paraId="20A50AC2">
            <w:pPr>
              <w:pageBreakBefore w:val="0"/>
              <w:shd w:val="clear"/>
              <w:bidi w:val="0"/>
              <w:adjustRightInd w:val="0"/>
              <w:snapToGrid w:val="0"/>
              <w:spacing w:beforeAutospacing="0" w:afterAutospacing="0" w:line="240" w:lineRule="auto"/>
              <w:ind w:firstLine="420" w:firstLineChars="20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color w:val="auto"/>
                <w:sz w:val="21"/>
                <w:szCs w:val="21"/>
                <w:highlight w:val="none"/>
              </w:rPr>
              <w:t xml:space="preserve">       </w:t>
            </w:r>
          </w:p>
        </w:tc>
        <w:tc>
          <w:tcPr>
            <w:tcW w:w="1365" w:type="dxa"/>
            <w:vMerge w:val="continue"/>
            <w:shd w:val="clear" w:color="auto" w:fill="auto"/>
            <w:vAlign w:val="center"/>
          </w:tcPr>
          <w:p w14:paraId="15ABF959">
            <w:pPr>
              <w:pageBreakBefore w:val="0"/>
              <w:shd w:val="clear"/>
              <w:bidi w:val="0"/>
              <w:adjustRightInd w:val="0"/>
              <w:snapToGrid w:val="0"/>
              <w:spacing w:beforeAutospacing="0" w:afterAutospacing="0" w:line="240" w:lineRule="auto"/>
              <w:ind w:firstLine="420" w:firstLineChars="200"/>
              <w:jc w:val="left"/>
              <w:rPr>
                <w:rFonts w:hint="eastAsia" w:ascii="仿宋" w:hAnsi="仿宋" w:eastAsia="仿宋" w:cs="仿宋"/>
                <w:color w:val="auto"/>
                <w:sz w:val="21"/>
                <w:szCs w:val="21"/>
                <w:highlight w:val="none"/>
              </w:rPr>
            </w:pPr>
          </w:p>
        </w:tc>
        <w:tc>
          <w:tcPr>
            <w:tcW w:w="2453" w:type="dxa"/>
            <w:shd w:val="clear" w:color="auto" w:fill="auto"/>
            <w:vAlign w:val="center"/>
          </w:tcPr>
          <w:p w14:paraId="7704537B">
            <w:pPr>
              <w:pageBreakBefore w:val="0"/>
              <w:shd w:val="clear"/>
              <w:bidi w:val="0"/>
              <w:adjustRightInd w:val="0"/>
              <w:snapToGrid w:val="0"/>
              <w:spacing w:beforeAutospacing="0" w:afterAutospacing="0" w:line="240" w:lineRule="auto"/>
              <w:jc w:val="center"/>
              <w:rPr>
                <w:rFonts w:hint="eastAsia" w:ascii="仿宋" w:hAnsi="仿宋" w:eastAsia="仿宋" w:cs="仿宋"/>
                <w:color w:val="auto"/>
                <w:sz w:val="21"/>
                <w:szCs w:val="21"/>
                <w:highlight w:val="none"/>
              </w:rPr>
            </w:pPr>
          </w:p>
        </w:tc>
      </w:tr>
      <w:tr w14:paraId="6DAFB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620" w:type="dxa"/>
            <w:shd w:val="clear" w:color="auto" w:fill="auto"/>
            <w:vAlign w:val="center"/>
          </w:tcPr>
          <w:p w14:paraId="07BC9BF3">
            <w:pPr>
              <w:pageBreakBefore w:val="0"/>
              <w:shd w:val="clear"/>
              <w:bidi w:val="0"/>
              <w:adjustRightInd w:val="0"/>
              <w:snapToGrid w:val="0"/>
              <w:spacing w:beforeAutospacing="0" w:afterAutospacing="0" w:line="240" w:lineRule="auto"/>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授权书编号</w:t>
            </w:r>
          </w:p>
        </w:tc>
        <w:tc>
          <w:tcPr>
            <w:tcW w:w="3825" w:type="dxa"/>
            <w:shd w:val="clear" w:color="auto" w:fill="auto"/>
            <w:vAlign w:val="center"/>
          </w:tcPr>
          <w:p w14:paraId="5D64C52A">
            <w:pPr>
              <w:pageBreakBefore w:val="0"/>
              <w:shd w:val="clear"/>
              <w:bidi w:val="0"/>
              <w:adjustRightInd w:val="0"/>
              <w:snapToGrid w:val="0"/>
              <w:spacing w:beforeAutospacing="0" w:afterAutospacing="0" w:line="240" w:lineRule="auto"/>
              <w:ind w:firstLine="420" w:firstLineChars="200"/>
              <w:jc w:val="left"/>
              <w:rPr>
                <w:rFonts w:hint="eastAsia" w:ascii="仿宋" w:hAnsi="仿宋" w:eastAsia="仿宋" w:cs="仿宋"/>
                <w:color w:val="auto"/>
                <w:sz w:val="21"/>
                <w:szCs w:val="21"/>
                <w:highlight w:val="none"/>
                <w:lang w:val="en-US" w:eastAsia="zh-CN"/>
              </w:rPr>
            </w:pPr>
          </w:p>
        </w:tc>
        <w:tc>
          <w:tcPr>
            <w:tcW w:w="1365" w:type="dxa"/>
            <w:vMerge w:val="restart"/>
            <w:shd w:val="clear" w:color="auto" w:fill="auto"/>
            <w:vAlign w:val="center"/>
          </w:tcPr>
          <w:p w14:paraId="73BF3F19">
            <w:pPr>
              <w:pageBreakBefore w:val="0"/>
              <w:shd w:val="clear"/>
              <w:bidi w:val="0"/>
              <w:adjustRightInd w:val="0"/>
              <w:snapToGrid w:val="0"/>
              <w:spacing w:beforeAutospacing="0" w:afterAutospacing="0" w:line="240" w:lineRule="auto"/>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被授权人姓名及身份证号码</w:t>
            </w:r>
          </w:p>
        </w:tc>
        <w:tc>
          <w:tcPr>
            <w:tcW w:w="2453" w:type="dxa"/>
            <w:shd w:val="clear" w:color="auto" w:fill="auto"/>
            <w:vAlign w:val="center"/>
          </w:tcPr>
          <w:p w14:paraId="25C5E396">
            <w:pPr>
              <w:pageBreakBefore w:val="0"/>
              <w:shd w:val="clear"/>
              <w:bidi w:val="0"/>
              <w:adjustRightInd w:val="0"/>
              <w:snapToGrid w:val="0"/>
              <w:spacing w:beforeAutospacing="0" w:afterAutospacing="0" w:line="240" w:lineRule="auto"/>
              <w:ind w:firstLine="420" w:firstLineChars="200"/>
              <w:jc w:val="center"/>
              <w:rPr>
                <w:rFonts w:hint="default" w:ascii="仿宋" w:hAnsi="仿宋" w:eastAsia="仿宋" w:cs="仿宋"/>
                <w:color w:val="auto"/>
                <w:sz w:val="21"/>
                <w:szCs w:val="21"/>
                <w:highlight w:val="none"/>
                <w:lang w:val="en-US" w:eastAsia="zh-CN"/>
              </w:rPr>
            </w:pPr>
          </w:p>
        </w:tc>
      </w:tr>
      <w:tr w14:paraId="1CDEE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620" w:type="dxa"/>
            <w:shd w:val="clear" w:color="auto" w:fill="auto"/>
            <w:vAlign w:val="center"/>
          </w:tcPr>
          <w:p w14:paraId="1C4AB58F">
            <w:pPr>
              <w:pageBreakBefore w:val="0"/>
              <w:shd w:val="clear"/>
              <w:bidi w:val="0"/>
              <w:adjustRightInd w:val="0"/>
              <w:snapToGrid w:val="0"/>
              <w:spacing w:beforeAutospacing="0" w:afterAutospacing="0" w:line="240" w:lineRule="auto"/>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执业资格名称及编号</w:t>
            </w:r>
          </w:p>
        </w:tc>
        <w:tc>
          <w:tcPr>
            <w:tcW w:w="3825" w:type="dxa"/>
            <w:shd w:val="clear" w:color="auto" w:fill="auto"/>
            <w:vAlign w:val="center"/>
          </w:tcPr>
          <w:p w14:paraId="3F9F19D4">
            <w:pPr>
              <w:pageBreakBefore w:val="0"/>
              <w:shd w:val="clear"/>
              <w:bidi w:val="0"/>
              <w:adjustRightInd w:val="0"/>
              <w:snapToGrid w:val="0"/>
              <w:spacing w:beforeAutospacing="0" w:afterAutospacing="0" w:line="240" w:lineRule="auto"/>
              <w:ind w:firstLine="420" w:firstLineChars="200"/>
              <w:jc w:val="left"/>
              <w:rPr>
                <w:rFonts w:hint="eastAsia" w:ascii="仿宋" w:hAnsi="仿宋" w:eastAsia="仿宋" w:cs="仿宋"/>
                <w:color w:val="auto"/>
                <w:sz w:val="21"/>
                <w:szCs w:val="21"/>
                <w:highlight w:val="none"/>
                <w:lang w:eastAsia="zh-CN"/>
              </w:rPr>
            </w:pPr>
          </w:p>
        </w:tc>
        <w:tc>
          <w:tcPr>
            <w:tcW w:w="1365" w:type="dxa"/>
            <w:vMerge w:val="continue"/>
            <w:shd w:val="clear" w:color="auto" w:fill="auto"/>
            <w:vAlign w:val="center"/>
          </w:tcPr>
          <w:p w14:paraId="48BBF058">
            <w:pPr>
              <w:pageBreakBefore w:val="0"/>
              <w:shd w:val="clear"/>
              <w:bidi w:val="0"/>
              <w:adjustRightInd w:val="0"/>
              <w:snapToGrid w:val="0"/>
              <w:spacing w:beforeAutospacing="0" w:afterAutospacing="0" w:line="240" w:lineRule="auto"/>
              <w:ind w:firstLine="420" w:firstLineChars="200"/>
              <w:jc w:val="left"/>
              <w:rPr>
                <w:rFonts w:hint="eastAsia" w:ascii="仿宋" w:hAnsi="仿宋" w:eastAsia="仿宋" w:cs="仿宋"/>
                <w:color w:val="auto"/>
                <w:sz w:val="21"/>
                <w:szCs w:val="21"/>
                <w:highlight w:val="none"/>
              </w:rPr>
            </w:pPr>
          </w:p>
        </w:tc>
        <w:tc>
          <w:tcPr>
            <w:tcW w:w="2453" w:type="dxa"/>
            <w:shd w:val="clear" w:color="auto" w:fill="auto"/>
            <w:vAlign w:val="center"/>
          </w:tcPr>
          <w:p w14:paraId="33AC9563">
            <w:pPr>
              <w:pageBreakBefore w:val="0"/>
              <w:shd w:val="clear"/>
              <w:bidi w:val="0"/>
              <w:adjustRightInd w:val="0"/>
              <w:snapToGrid w:val="0"/>
              <w:spacing w:beforeAutospacing="0" w:afterAutospacing="0" w:line="240" w:lineRule="auto"/>
              <w:jc w:val="center"/>
              <w:rPr>
                <w:rFonts w:hint="eastAsia" w:ascii="仿宋" w:hAnsi="仿宋" w:eastAsia="仿宋" w:cs="仿宋"/>
                <w:color w:val="auto"/>
                <w:sz w:val="21"/>
                <w:szCs w:val="21"/>
                <w:highlight w:val="none"/>
                <w:lang w:eastAsia="zh-CN"/>
              </w:rPr>
            </w:pPr>
          </w:p>
        </w:tc>
      </w:tr>
    </w:tbl>
    <w:p w14:paraId="3A1F139A">
      <w:pPr>
        <w:pageBreakBefore w:val="0"/>
        <w:shd w:val="clear"/>
        <w:bidi w:val="0"/>
        <w:adjustRightInd w:val="0"/>
        <w:snapToGrid w:val="0"/>
        <w:spacing w:beforeAutospacing="0" w:afterAutospacing="0" w:line="24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本人承诺在该工程建设过程中一定认真履行下列职责，并承担终身质量责任。</w:t>
      </w:r>
    </w:p>
    <w:p w14:paraId="1AC57519">
      <w:pPr>
        <w:pageBreakBefore w:val="0"/>
        <w:shd w:val="clear"/>
        <w:bidi w:val="0"/>
        <w:adjustRightInd w:val="0"/>
        <w:snapToGrid w:val="0"/>
        <w:spacing w:beforeAutospacing="0" w:afterAutospacing="0" w:line="24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1、按规定已取得相应执业资格和安全生产考核合格证书，在岗履职，不违反规定同时在两个及两个以上的工程项目担任项目经理。</w:t>
      </w:r>
    </w:p>
    <w:p w14:paraId="10ACF083">
      <w:pPr>
        <w:pageBreakBefore w:val="0"/>
        <w:shd w:val="clear"/>
        <w:bidi w:val="0"/>
        <w:adjustRightInd w:val="0"/>
        <w:snapToGrid w:val="0"/>
        <w:spacing w:beforeAutospacing="0" w:afterAutospacing="0" w:line="24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2、对工程项目施工质量负全责，负责建立质量管理体系，负责配备专职质量、施工、技术等施工现场管理人员，负责落实质量责任制、质量管理规章制度和操作规程。</w:t>
      </w:r>
    </w:p>
    <w:p w14:paraId="519D26F7">
      <w:pPr>
        <w:pageBreakBefore w:val="0"/>
        <w:shd w:val="clear"/>
        <w:bidi w:val="0"/>
        <w:adjustRightInd w:val="0"/>
        <w:snapToGrid w:val="0"/>
        <w:spacing w:beforeAutospacing="0" w:afterAutospacing="0" w:line="24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按照经施工图审查机构审查合格并加盖了审图专用章的工程设计文件、施工技术标准和合同约定的质量标准精心组织施工，不擅自修改工程设计，不偷工减料；负责组织编制施工组织设计，负责组织制定质量技术措施，负责组织编制、论证和实施关键分部分项工程专项施工方案；负责组织质量、施工技术交底和建立样板引路制度。组织本项目开展工程施工质量常见问题专项治理工作，组织编制质量常见问题专项治理方案和相关防控措施并督促落实。</w:t>
      </w:r>
    </w:p>
    <w:p w14:paraId="7FA496D0">
      <w:pPr>
        <w:pageBreakBefore w:val="0"/>
        <w:shd w:val="clear"/>
        <w:bidi w:val="0"/>
        <w:adjustRightInd w:val="0"/>
        <w:snapToGrid w:val="0"/>
        <w:spacing w:beforeAutospacing="0" w:afterAutospacing="0" w:line="24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组织对进入现场的建筑材料、构配件、设备、预拌混凝土等进行检验验收并建立相关台账（含不合格品处理台账），未经检验或检验不合格不投入使用；组织对涉及结构安全的试块、试件以及有关材料进行取样检测并建立相关台账，送检试样不弄虚作假，不篡改或者伪造检测报告，不明示或暗示检测机构出具虚假检测报告。</w:t>
      </w:r>
    </w:p>
    <w:p w14:paraId="0E2F44DD">
      <w:pPr>
        <w:pageBreakBefore w:val="0"/>
        <w:shd w:val="clear"/>
        <w:bidi w:val="0"/>
        <w:adjustRightInd w:val="0"/>
        <w:snapToGrid w:val="0"/>
        <w:spacing w:beforeAutospacing="0" w:afterAutospacing="0" w:line="24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5、组织做好隐蔽工程的验收工作，参加地基基础、主体结构等分部工程的验收，参加单位工程和工程竣工验收；在验收文件上签字，不签署虚假文件。</w:t>
      </w:r>
    </w:p>
    <w:p w14:paraId="7AA1906E">
      <w:pPr>
        <w:pageBreakBefore w:val="0"/>
        <w:shd w:val="clear"/>
        <w:bidi w:val="0"/>
        <w:adjustRightInd w:val="0"/>
        <w:snapToGrid w:val="0"/>
        <w:spacing w:beforeAutospacing="0" w:afterAutospacing="0" w:line="24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在桩基、高边坡、深基坑、结构首层及顶层、结构转化层、高大模板支设、大型混凝土浇筑、防水施工等关键环节或关键部位施工期间现场带班；组织关键环节或关键部位等的自检验收，未经验收或验收不合格，不进入下道工序施工；组织主体分部工程和竣工验收前的质量常见问题专项治理和分户验收自检自评。</w:t>
      </w:r>
    </w:p>
    <w:p w14:paraId="3EE17488">
      <w:pPr>
        <w:pageBreakBefore w:val="0"/>
        <w:shd w:val="clear"/>
        <w:bidi w:val="0"/>
        <w:adjustRightInd w:val="0"/>
        <w:snapToGrid w:val="0"/>
        <w:spacing w:beforeAutospacing="0" w:afterAutospacing="0" w:line="24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7、定期组织质量隐患排查，建立质量隐患整改台帐，及时消除质量隐患；认真落实住房城乡建设主管部门和工程建设相关单位提出的质量隐患整改要求，在隐患整改报告上签字。</w:t>
      </w:r>
    </w:p>
    <w:p w14:paraId="287EB905">
      <w:pPr>
        <w:pageBreakBefore w:val="0"/>
        <w:shd w:val="clear"/>
        <w:bidi w:val="0"/>
        <w:adjustRightInd w:val="0"/>
        <w:snapToGrid w:val="0"/>
        <w:spacing w:beforeAutospacing="0" w:afterAutospacing="0" w:line="24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8、组织对关键岗位人员和钢筋焊接、混凝土浇捣等质量关键工种作业人员的岗前施工技术质量培训和考核，考核不合格不得上岗。</w:t>
      </w:r>
    </w:p>
    <w:p w14:paraId="69E81DD0">
      <w:pPr>
        <w:pageBreakBefore w:val="0"/>
        <w:shd w:val="clear"/>
        <w:bidi w:val="0"/>
        <w:adjustRightInd w:val="0"/>
        <w:snapToGrid w:val="0"/>
        <w:spacing w:beforeAutospacing="0" w:afterAutospacing="0" w:line="24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9、发生工程质量事故时按规定报告质量事故，立即启动应急预案，保护事故现场，开展应急救援和采取减损措施。</w:t>
      </w:r>
    </w:p>
    <w:p w14:paraId="71DE041A">
      <w:pPr>
        <w:pageBreakBefore w:val="0"/>
        <w:shd w:val="clear"/>
        <w:bidi w:val="0"/>
        <w:adjustRightInd w:val="0"/>
        <w:snapToGrid w:val="0"/>
        <w:spacing w:beforeAutospacing="0" w:afterAutospacing="0" w:line="24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10、不转包、不违法分包和挂靠，不以包代管。</w:t>
      </w:r>
    </w:p>
    <w:p w14:paraId="5E260AB6">
      <w:pPr>
        <w:pageBreakBefore w:val="0"/>
        <w:shd w:val="clear"/>
        <w:bidi w:val="0"/>
        <w:adjustRightInd w:val="0"/>
        <w:snapToGrid w:val="0"/>
        <w:spacing w:beforeAutospacing="0" w:afterAutospacing="0" w:line="24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11、向建设单位出具质量保修书，保修书中明确建设工程的保修范围、保修期限和保修责任等。建设工程在保修范围和期限内发生质量问题，严格依法依规履行保修义务，并对造成的损失承担赔偿责任。</w:t>
      </w:r>
    </w:p>
    <w:p w14:paraId="7EF94ECB">
      <w:pPr>
        <w:pageBreakBefore w:val="0"/>
        <w:shd w:val="clear"/>
        <w:bidi w:val="0"/>
        <w:adjustRightInd w:val="0"/>
        <w:snapToGrid w:val="0"/>
        <w:spacing w:beforeAutospacing="0" w:afterAutospacing="0" w:line="24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12、如存在转包、违法分包、挂靠、以包代管，或因其他违法违规等不当行为，造成工程质量事故、因投诉、举报、群体性事件、媒体报道并造成恶劣社会影响的严重工程质量问题</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造成尚在设计使用年限内的建筑工程不能正常使用等质量后果及其他法律后果，无论本人身在何处、身居何职或是否退休，本人自愿承担相关法律责任。</w:t>
      </w:r>
    </w:p>
    <w:p w14:paraId="18D87804">
      <w:pPr>
        <w:pageBreakBefore w:val="0"/>
        <w:shd w:val="clear"/>
        <w:bidi w:val="0"/>
        <w:adjustRightInd w:val="0"/>
        <w:snapToGrid w:val="0"/>
        <w:spacing w:beforeAutospacing="0" w:afterAutospacing="0" w:line="24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13、其他法律法规规定的职责。</w:t>
      </w:r>
    </w:p>
    <w:p w14:paraId="4C1CD134">
      <w:pPr>
        <w:pageBreakBefore w:val="0"/>
        <w:shd w:val="clear"/>
        <w:bidi w:val="0"/>
        <w:adjustRightInd w:val="0"/>
        <w:snapToGrid w:val="0"/>
        <w:spacing w:beforeAutospacing="0" w:afterAutospacing="0" w:line="24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本承诺书按主合同份数制作，并按主合同份数收执。</w:t>
      </w:r>
    </w:p>
    <w:p w14:paraId="25F9B173">
      <w:pPr>
        <w:pageBreakBefore w:val="0"/>
        <w:shd w:val="clear"/>
        <w:bidi w:val="0"/>
        <w:adjustRightInd w:val="0"/>
        <w:snapToGrid w:val="0"/>
        <w:spacing w:beforeAutospacing="0" w:afterAutospacing="0" w:line="240" w:lineRule="auto"/>
        <w:ind w:firstLine="2891" w:firstLineChars="1200"/>
        <w:jc w:val="left"/>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 xml:space="preserve">承诺人（签名并加盖执业章）：  </w:t>
      </w:r>
      <w:r>
        <w:rPr>
          <w:rFonts w:hint="eastAsia" w:ascii="仿宋" w:hAnsi="仿宋" w:eastAsia="仿宋" w:cs="仿宋"/>
          <w:color w:val="auto"/>
          <w:sz w:val="24"/>
          <w:szCs w:val="24"/>
          <w:highlight w:val="none"/>
        </w:rPr>
        <w:t xml:space="preserve">    </w:t>
      </w:r>
    </w:p>
    <w:p w14:paraId="2390473A">
      <w:pPr>
        <w:pageBreakBefore w:val="0"/>
        <w:shd w:val="clear"/>
        <w:bidi w:val="0"/>
        <w:adjustRightInd w:val="0"/>
        <w:snapToGrid w:val="0"/>
        <w:spacing w:beforeAutospacing="0" w:afterAutospacing="0" w:line="240" w:lineRule="auto"/>
        <w:ind w:firstLine="5280" w:firstLineChars="2200"/>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u w:val="none"/>
        </w:rPr>
        <w:t xml:space="preserve">   </w:t>
      </w:r>
      <w:r>
        <w:rPr>
          <w:rFonts w:hint="eastAsia" w:ascii="仿宋" w:hAnsi="仿宋" w:eastAsia="仿宋" w:cs="仿宋"/>
          <w:color w:val="auto"/>
          <w:sz w:val="24"/>
          <w:szCs w:val="24"/>
          <w:highlight w:val="none"/>
          <w:u w:val="none"/>
          <w:lang w:val="en-US" w:eastAsia="zh-CN"/>
        </w:rPr>
        <w:t xml:space="preserve">    </w:t>
      </w:r>
      <w:r>
        <w:rPr>
          <w:rFonts w:hint="eastAsia" w:ascii="仿宋" w:hAnsi="仿宋" w:eastAsia="仿宋" w:cs="仿宋"/>
          <w:color w:val="auto"/>
          <w:sz w:val="24"/>
          <w:szCs w:val="24"/>
          <w:highlight w:val="none"/>
          <w:u w:val="none"/>
        </w:rPr>
        <w:t>年</w:t>
      </w:r>
      <w:r>
        <w:rPr>
          <w:rFonts w:hint="eastAsia" w:ascii="仿宋" w:hAnsi="仿宋" w:eastAsia="仿宋" w:cs="仿宋"/>
          <w:color w:val="auto"/>
          <w:sz w:val="24"/>
          <w:szCs w:val="24"/>
          <w:highlight w:val="none"/>
          <w:u w:val="none"/>
          <w:lang w:val="en-US" w:eastAsia="zh-CN"/>
        </w:rPr>
        <w:t xml:space="preserve">  </w:t>
      </w:r>
      <w:r>
        <w:rPr>
          <w:rFonts w:hint="eastAsia" w:ascii="仿宋" w:hAnsi="仿宋" w:eastAsia="仿宋" w:cs="仿宋"/>
          <w:color w:val="auto"/>
          <w:sz w:val="24"/>
          <w:szCs w:val="24"/>
          <w:highlight w:val="none"/>
          <w:u w:val="none"/>
        </w:rPr>
        <w:t>月</w:t>
      </w:r>
      <w:r>
        <w:rPr>
          <w:rFonts w:hint="eastAsia" w:ascii="仿宋" w:hAnsi="仿宋" w:eastAsia="仿宋" w:cs="仿宋"/>
          <w:color w:val="auto"/>
          <w:sz w:val="24"/>
          <w:szCs w:val="24"/>
          <w:highlight w:val="none"/>
          <w:u w:val="none"/>
          <w:lang w:val="en-US" w:eastAsia="zh-CN"/>
        </w:rPr>
        <w:t xml:space="preserve">  </w:t>
      </w:r>
      <w:r>
        <w:rPr>
          <w:rFonts w:hint="eastAsia" w:ascii="仿宋" w:hAnsi="仿宋" w:eastAsia="仿宋" w:cs="仿宋"/>
          <w:color w:val="auto"/>
          <w:sz w:val="24"/>
          <w:szCs w:val="24"/>
          <w:highlight w:val="none"/>
          <w:u w:val="none"/>
        </w:rPr>
        <w:t>日</w:t>
      </w:r>
    </w:p>
    <w:p w14:paraId="4C9B265A">
      <w:pPr>
        <w:pageBreakBefore w:val="0"/>
        <w:shd w:val="clear"/>
        <w:bidi w:val="0"/>
        <w:adjustRightInd w:val="0"/>
        <w:snapToGrid w:val="0"/>
        <w:spacing w:beforeAutospacing="0" w:afterAutospacing="0" w:line="568" w:lineRule="exact"/>
        <w:jc w:val="lef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应附：法定代表人</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项目经理身份证复印件。</w:t>
      </w:r>
    </w:p>
    <w:tbl>
      <w:tblPr>
        <w:tblStyle w:val="2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1"/>
        <w:gridCol w:w="901"/>
      </w:tblGrid>
      <w:tr w14:paraId="5EE2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3" w:hRule="atLeast"/>
        </w:trPr>
        <w:tc>
          <w:tcPr>
            <w:tcW w:w="7621" w:type="dxa"/>
            <w:tcBorders>
              <w:bottom w:val="single" w:color="auto" w:sz="4" w:space="0"/>
              <w:right w:val="nil"/>
            </w:tcBorders>
            <w:noWrap w:val="0"/>
            <w:vAlign w:val="center"/>
          </w:tcPr>
          <w:p w14:paraId="09A32410">
            <w:pPr>
              <w:shd w:val="clear"/>
              <w:ind w:right="840"/>
              <w:jc w:val="both"/>
              <w:rPr>
                <w:rFonts w:hint="eastAsia"/>
                <w:color w:val="auto"/>
                <w:highlight w:val="none"/>
              </w:rPr>
            </w:pPr>
            <w:r>
              <w:rPr>
                <w:rFonts w:hint="eastAsia" w:ascii="宋体" w:hAnsi="宋体" w:eastAsia="宋体" w:cs="宋体"/>
                <w:color w:val="auto"/>
                <w:szCs w:val="21"/>
                <w:highlight w:val="none"/>
                <w:lang w:val="en-US" w:eastAsia="zh-CN"/>
              </w:rPr>
              <w:t xml:space="preserve"> </w:t>
            </w:r>
          </w:p>
        </w:tc>
        <w:tc>
          <w:tcPr>
            <w:tcW w:w="901" w:type="dxa"/>
            <w:tcBorders>
              <w:left w:val="nil"/>
              <w:bottom w:val="single" w:color="auto" w:sz="4" w:space="0"/>
            </w:tcBorders>
            <w:noWrap w:val="0"/>
            <w:vAlign w:val="center"/>
          </w:tcPr>
          <w:p w14:paraId="7B1E5961">
            <w:pPr>
              <w:shd w:val="clear"/>
              <w:jc w:val="left"/>
              <w:rPr>
                <w:rFonts w:hint="eastAsia"/>
                <w:color w:val="auto"/>
                <w:highlight w:val="none"/>
              </w:rPr>
            </w:pPr>
          </w:p>
          <w:p w14:paraId="797A3AD8">
            <w:pPr>
              <w:shd w:val="clear"/>
              <w:jc w:val="left"/>
              <w:rPr>
                <w:color w:val="auto"/>
                <w:highlight w:val="none"/>
              </w:rPr>
            </w:pPr>
            <w:r>
              <w:rPr>
                <w:rFonts w:hint="eastAsia"/>
                <w:color w:val="auto"/>
                <w:highlight w:val="none"/>
              </w:rPr>
              <w:t>法定代表人身份证正反面复印件</w:t>
            </w:r>
          </w:p>
        </w:tc>
      </w:tr>
      <w:tr w14:paraId="438E3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3" w:hRule="atLeast"/>
        </w:trPr>
        <w:tc>
          <w:tcPr>
            <w:tcW w:w="7621" w:type="dxa"/>
            <w:tcBorders>
              <w:right w:val="nil"/>
            </w:tcBorders>
            <w:noWrap w:val="0"/>
            <w:vAlign w:val="center"/>
          </w:tcPr>
          <w:p w14:paraId="0C1EA3E8">
            <w:pPr>
              <w:shd w:val="clear"/>
              <w:ind w:right="420"/>
              <w:jc w:val="both"/>
              <w:rPr>
                <w:rFonts w:hint="eastAsia" w:eastAsia="宋体"/>
                <w:color w:val="auto"/>
                <w:highlight w:val="none"/>
                <w:lang w:eastAsia="zh-CN"/>
              </w:rPr>
            </w:pPr>
          </w:p>
        </w:tc>
        <w:tc>
          <w:tcPr>
            <w:tcW w:w="901" w:type="dxa"/>
            <w:tcBorders>
              <w:left w:val="nil"/>
            </w:tcBorders>
            <w:noWrap w:val="0"/>
            <w:vAlign w:val="center"/>
          </w:tcPr>
          <w:p w14:paraId="76054413">
            <w:pPr>
              <w:shd w:val="clear"/>
              <w:ind w:right="420"/>
              <w:jc w:val="right"/>
              <w:rPr>
                <w:rFonts w:hint="eastAsia"/>
                <w:color w:val="auto"/>
                <w:highlight w:val="none"/>
                <w:lang w:eastAsia="zh-CN"/>
              </w:rPr>
            </w:pPr>
          </w:p>
          <w:p w14:paraId="7FBEE6FD">
            <w:pPr>
              <w:shd w:val="clear"/>
              <w:ind w:right="420"/>
              <w:jc w:val="right"/>
              <w:rPr>
                <w:color w:val="auto"/>
                <w:highlight w:val="none"/>
              </w:rPr>
            </w:pPr>
            <w:r>
              <w:rPr>
                <w:rFonts w:hint="eastAsia"/>
                <w:color w:val="auto"/>
                <w:highlight w:val="none"/>
                <w:lang w:eastAsia="zh-CN"/>
              </w:rPr>
              <w:t>项目经理</w:t>
            </w:r>
            <w:r>
              <w:rPr>
                <w:rFonts w:hint="eastAsia"/>
                <w:color w:val="auto"/>
                <w:highlight w:val="none"/>
              </w:rPr>
              <w:t>身份证正反面复印件</w:t>
            </w:r>
          </w:p>
        </w:tc>
      </w:tr>
    </w:tbl>
    <w:p w14:paraId="07202315">
      <w:pPr>
        <w:shd w:val="clea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br w:type="page"/>
      </w:r>
    </w:p>
    <w:p w14:paraId="6BCD28AB">
      <w:pPr>
        <w:pageBreakBefore w:val="0"/>
        <w:shd w:val="clear"/>
        <w:bidi w:val="0"/>
        <w:adjustRightInd w:val="0"/>
        <w:snapToGrid w:val="0"/>
        <w:spacing w:beforeAutospacing="0" w:afterAutospacing="0" w:line="568" w:lineRule="exact"/>
        <w:jc w:val="both"/>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附件5</w:t>
      </w:r>
    </w:p>
    <w:p w14:paraId="6FE5C84B">
      <w:pPr>
        <w:pageBreakBefore w:val="0"/>
        <w:shd w:val="clear"/>
        <w:bidi w:val="0"/>
        <w:adjustRightInd w:val="0"/>
        <w:snapToGrid w:val="0"/>
        <w:spacing w:beforeAutospacing="0" w:afterAutospacing="0" w:line="568" w:lineRule="exact"/>
        <w:jc w:val="center"/>
        <w:textAlignment w:val="baseline"/>
        <w:rPr>
          <w:rFonts w:ascii="宋体" w:hAnsi="宋体"/>
          <w:color w:val="auto"/>
          <w:kern w:val="0"/>
          <w:sz w:val="44"/>
          <w:szCs w:val="32"/>
          <w:highlight w:val="none"/>
        </w:rPr>
      </w:pPr>
      <w:r>
        <w:rPr>
          <w:rFonts w:hint="eastAsia" w:ascii="宋体" w:hAnsi="宋体"/>
          <w:color w:val="auto"/>
          <w:kern w:val="0"/>
          <w:sz w:val="44"/>
          <w:szCs w:val="32"/>
          <w:highlight w:val="none"/>
        </w:rPr>
        <w:t>法定代表人授权书</w:t>
      </w:r>
    </w:p>
    <w:p w14:paraId="57E81A62">
      <w:pPr>
        <w:pageBreakBefore w:val="0"/>
        <w:shd w:val="clear"/>
        <w:bidi w:val="0"/>
        <w:adjustRightInd w:val="0"/>
        <w:snapToGrid w:val="0"/>
        <w:spacing w:beforeAutospacing="0" w:afterAutospacing="0" w:line="568" w:lineRule="exact"/>
        <w:ind w:firstLine="640" w:firstLineChars="200"/>
        <w:textAlignment w:val="baseline"/>
        <w:rPr>
          <w:rFonts w:hint="eastAsia" w:ascii="宋体" w:hAnsi="宋体"/>
          <w:color w:val="auto"/>
          <w:kern w:val="0"/>
          <w:sz w:val="32"/>
          <w:szCs w:val="32"/>
          <w:highlight w:val="none"/>
        </w:rPr>
      </w:pPr>
    </w:p>
    <w:p w14:paraId="65F7CA68">
      <w:pPr>
        <w:pageBreakBefore w:val="0"/>
        <w:shd w:val="clear"/>
        <w:bidi w:val="0"/>
        <w:adjustRightInd w:val="0"/>
        <w:snapToGrid w:val="0"/>
        <w:spacing w:beforeAutospacing="0" w:afterAutospacing="0" w:line="568" w:lineRule="exact"/>
        <w:ind w:firstLine="640" w:firstLineChars="200"/>
        <w:textAlignment w:val="baseline"/>
        <w:rPr>
          <w:rFonts w:hint="eastAsia" w:ascii="仿宋" w:hAnsi="仿宋" w:eastAsia="仿宋" w:cs="仿宋"/>
          <w:color w:val="auto"/>
          <w:kern w:val="0"/>
          <w:sz w:val="28"/>
          <w:szCs w:val="28"/>
          <w:highlight w:val="none"/>
        </w:rPr>
      </w:pPr>
      <w:r>
        <w:rPr>
          <w:rFonts w:hint="eastAsia" w:ascii="宋体" w:hAnsi="宋体"/>
          <w:color w:val="auto"/>
          <w:kern w:val="0"/>
          <w:sz w:val="32"/>
          <w:szCs w:val="32"/>
          <w:highlight w:val="none"/>
        </w:rPr>
        <w:t xml:space="preserve"> </w:t>
      </w:r>
      <w:r>
        <w:rPr>
          <w:rFonts w:hint="eastAsia" w:ascii="仿宋" w:hAnsi="仿宋" w:eastAsia="仿宋" w:cs="仿宋"/>
          <w:color w:val="auto"/>
          <w:kern w:val="0"/>
          <w:sz w:val="28"/>
          <w:szCs w:val="28"/>
          <w:highlight w:val="none"/>
        </w:rPr>
        <w:t>兹授权我单位</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u w:val="single"/>
          <w:lang w:val="en-US" w:eastAsia="zh-CN"/>
        </w:rPr>
        <w:t xml:space="preserve">  </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担任</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u w:val="single"/>
          <w:lang w:val="en-US" w:eastAsia="zh-CN"/>
        </w:rPr>
        <w:t xml:space="preserve"> </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项目的</w:t>
      </w:r>
      <w:r>
        <w:rPr>
          <w:rFonts w:hint="eastAsia" w:ascii="仿宋" w:hAnsi="仿宋" w:eastAsia="仿宋" w:cs="仿宋"/>
          <w:color w:val="auto"/>
          <w:kern w:val="0"/>
          <w:sz w:val="28"/>
          <w:szCs w:val="28"/>
          <w:highlight w:val="none"/>
          <w:u w:val="single"/>
        </w:rPr>
        <w:t>施工</w:t>
      </w:r>
      <w:r>
        <w:rPr>
          <w:rFonts w:hint="eastAsia" w:ascii="仿宋" w:hAnsi="仿宋" w:eastAsia="仿宋" w:cs="仿宋"/>
          <w:color w:val="auto"/>
          <w:kern w:val="0"/>
          <w:sz w:val="28"/>
          <w:szCs w:val="28"/>
          <w:highlight w:val="none"/>
        </w:rPr>
        <w:t>项目负责人，对该工程项目的</w:t>
      </w:r>
      <w:r>
        <w:rPr>
          <w:rFonts w:hint="eastAsia" w:ascii="仿宋" w:hAnsi="仿宋" w:eastAsia="仿宋" w:cs="仿宋"/>
          <w:color w:val="auto"/>
          <w:kern w:val="0"/>
          <w:sz w:val="28"/>
          <w:szCs w:val="28"/>
          <w:highlight w:val="none"/>
          <w:u w:val="single"/>
        </w:rPr>
        <w:t>施工</w:t>
      </w:r>
      <w:r>
        <w:rPr>
          <w:rFonts w:hint="eastAsia" w:ascii="仿宋" w:hAnsi="仿宋" w:eastAsia="仿宋" w:cs="仿宋"/>
          <w:color w:val="auto"/>
          <w:kern w:val="0"/>
          <w:sz w:val="28"/>
          <w:szCs w:val="28"/>
          <w:highlight w:val="none"/>
        </w:rPr>
        <w:t>工作实施组织管理，依据国家有关法律法规及标准规范履行职责，并依法对设计使用年限内的工程质量承担相应终身责任。</w:t>
      </w:r>
    </w:p>
    <w:tbl>
      <w:tblPr>
        <w:tblStyle w:val="26"/>
        <w:tblpPr w:leftFromText="180" w:rightFromText="180" w:vertAnchor="text" w:horzAnchor="margin" w:tblpY="691"/>
        <w:tblOverlap w:val="never"/>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2017"/>
        <w:gridCol w:w="1940"/>
        <w:gridCol w:w="2847"/>
      </w:tblGrid>
      <w:tr w14:paraId="27192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5" w:type="dxa"/>
            <w:gridSpan w:val="4"/>
          </w:tcPr>
          <w:p w14:paraId="0B140FF4">
            <w:pPr>
              <w:pageBreakBefore w:val="0"/>
              <w:shd w:val="clear"/>
              <w:bidi w:val="0"/>
              <w:adjustRightInd w:val="0"/>
              <w:snapToGrid w:val="0"/>
              <w:spacing w:beforeAutospacing="0" w:afterAutospacing="0" w:line="568" w:lineRule="exact"/>
              <w:jc w:val="center"/>
              <w:textAlignment w:val="baseline"/>
              <w:rPr>
                <w:rFonts w:hint="eastAsia" w:ascii="仿宋" w:hAnsi="仿宋" w:eastAsia="仿宋" w:cs="仿宋"/>
                <w:color w:val="auto"/>
                <w:kern w:val="0"/>
                <w:sz w:val="28"/>
                <w:szCs w:val="28"/>
                <w:highlight w:val="none"/>
              </w:rPr>
            </w:pPr>
            <w:r>
              <w:rPr>
                <w:rFonts w:hint="eastAsia" w:ascii="仿宋" w:hAnsi="仿宋" w:eastAsia="仿宋" w:cs="仿宋"/>
                <w:b/>
                <w:bCs/>
                <w:color w:val="auto"/>
                <w:kern w:val="0"/>
                <w:sz w:val="28"/>
                <w:szCs w:val="28"/>
                <w:highlight w:val="none"/>
              </w:rPr>
              <w:t>被授权人基本情况</w:t>
            </w:r>
          </w:p>
        </w:tc>
      </w:tr>
      <w:tr w14:paraId="4F784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Align w:val="center"/>
          </w:tcPr>
          <w:p w14:paraId="55B9595F">
            <w:pPr>
              <w:pageBreakBefore w:val="0"/>
              <w:shd w:val="clear"/>
              <w:bidi w:val="0"/>
              <w:adjustRightInd w:val="0"/>
              <w:snapToGrid w:val="0"/>
              <w:spacing w:beforeAutospacing="0" w:afterAutospacing="0" w:line="568" w:lineRule="exact"/>
              <w:jc w:val="center"/>
              <w:textAlignment w:val="baseline"/>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姓  名</w:t>
            </w:r>
          </w:p>
        </w:tc>
        <w:tc>
          <w:tcPr>
            <w:tcW w:w="2017" w:type="dxa"/>
            <w:vAlign w:val="center"/>
          </w:tcPr>
          <w:p w14:paraId="5BD65F85">
            <w:pPr>
              <w:pageBreakBefore w:val="0"/>
              <w:shd w:val="clear"/>
              <w:bidi w:val="0"/>
              <w:adjustRightInd w:val="0"/>
              <w:snapToGrid w:val="0"/>
              <w:spacing w:beforeAutospacing="0" w:afterAutospacing="0" w:line="568" w:lineRule="exact"/>
              <w:jc w:val="center"/>
              <w:textAlignment w:val="baseline"/>
              <w:rPr>
                <w:rFonts w:hint="default" w:ascii="仿宋" w:hAnsi="仿宋" w:eastAsia="仿宋" w:cs="仿宋"/>
                <w:color w:val="auto"/>
                <w:kern w:val="0"/>
                <w:sz w:val="28"/>
                <w:szCs w:val="28"/>
                <w:highlight w:val="none"/>
                <w:lang w:val="en-US" w:eastAsia="zh-CN"/>
              </w:rPr>
            </w:pPr>
          </w:p>
        </w:tc>
        <w:tc>
          <w:tcPr>
            <w:tcW w:w="1940" w:type="dxa"/>
            <w:vAlign w:val="center"/>
          </w:tcPr>
          <w:p w14:paraId="585D4072">
            <w:pPr>
              <w:pageBreakBefore w:val="0"/>
              <w:shd w:val="clear"/>
              <w:bidi w:val="0"/>
              <w:adjustRightInd w:val="0"/>
              <w:snapToGrid w:val="0"/>
              <w:spacing w:beforeAutospacing="0" w:afterAutospacing="0" w:line="568" w:lineRule="exact"/>
              <w:jc w:val="center"/>
              <w:textAlignment w:val="baseline"/>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身份证号</w:t>
            </w:r>
          </w:p>
        </w:tc>
        <w:tc>
          <w:tcPr>
            <w:tcW w:w="2847" w:type="dxa"/>
            <w:vAlign w:val="center"/>
          </w:tcPr>
          <w:p w14:paraId="3692E629">
            <w:pPr>
              <w:pageBreakBefore w:val="0"/>
              <w:shd w:val="clear"/>
              <w:bidi w:val="0"/>
              <w:adjustRightInd w:val="0"/>
              <w:snapToGrid w:val="0"/>
              <w:spacing w:beforeAutospacing="0" w:afterAutospacing="0" w:line="568" w:lineRule="exact"/>
              <w:jc w:val="center"/>
              <w:textAlignment w:val="baseline"/>
              <w:rPr>
                <w:rFonts w:hint="eastAsia" w:ascii="仿宋" w:hAnsi="仿宋" w:eastAsia="仿宋" w:cs="仿宋"/>
                <w:color w:val="auto"/>
                <w:kern w:val="0"/>
                <w:sz w:val="28"/>
                <w:szCs w:val="28"/>
                <w:highlight w:val="none"/>
                <w:lang w:eastAsia="zh-CN"/>
              </w:rPr>
            </w:pPr>
          </w:p>
        </w:tc>
      </w:tr>
      <w:tr w14:paraId="3D5AB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Align w:val="center"/>
          </w:tcPr>
          <w:p w14:paraId="79B7405E">
            <w:pPr>
              <w:pageBreakBefore w:val="0"/>
              <w:shd w:val="clear"/>
              <w:bidi w:val="0"/>
              <w:adjustRightInd w:val="0"/>
              <w:snapToGrid w:val="0"/>
              <w:spacing w:beforeAutospacing="0" w:afterAutospacing="0" w:line="568" w:lineRule="exact"/>
              <w:contextualSpacing/>
              <w:jc w:val="center"/>
              <w:textAlignment w:val="baseline"/>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注册执业资格</w:t>
            </w:r>
          </w:p>
        </w:tc>
        <w:tc>
          <w:tcPr>
            <w:tcW w:w="2017" w:type="dxa"/>
            <w:vAlign w:val="center"/>
          </w:tcPr>
          <w:p w14:paraId="4018057E">
            <w:pPr>
              <w:pageBreakBefore w:val="0"/>
              <w:shd w:val="clear"/>
              <w:bidi w:val="0"/>
              <w:adjustRightInd w:val="0"/>
              <w:snapToGrid w:val="0"/>
              <w:spacing w:beforeAutospacing="0" w:afterAutospacing="0" w:line="568" w:lineRule="exact"/>
              <w:jc w:val="center"/>
              <w:textAlignment w:val="baseline"/>
              <w:rPr>
                <w:rFonts w:hint="default" w:ascii="仿宋" w:hAnsi="仿宋" w:eastAsia="仿宋" w:cs="仿宋"/>
                <w:color w:val="auto"/>
                <w:kern w:val="0"/>
                <w:sz w:val="28"/>
                <w:szCs w:val="28"/>
                <w:highlight w:val="none"/>
                <w:lang w:val="en-US" w:eastAsia="zh-CN"/>
              </w:rPr>
            </w:pPr>
          </w:p>
        </w:tc>
        <w:tc>
          <w:tcPr>
            <w:tcW w:w="1940" w:type="dxa"/>
            <w:vAlign w:val="center"/>
          </w:tcPr>
          <w:p w14:paraId="0359C6F4">
            <w:pPr>
              <w:pageBreakBefore w:val="0"/>
              <w:shd w:val="clear"/>
              <w:bidi w:val="0"/>
              <w:adjustRightInd w:val="0"/>
              <w:snapToGrid w:val="0"/>
              <w:spacing w:beforeAutospacing="0" w:afterAutospacing="0" w:line="568" w:lineRule="exact"/>
              <w:jc w:val="center"/>
              <w:textAlignment w:val="baseline"/>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注册执业证号</w:t>
            </w:r>
          </w:p>
        </w:tc>
        <w:tc>
          <w:tcPr>
            <w:tcW w:w="2847" w:type="dxa"/>
            <w:vAlign w:val="center"/>
          </w:tcPr>
          <w:p w14:paraId="3292DD84">
            <w:pPr>
              <w:pageBreakBefore w:val="0"/>
              <w:shd w:val="clear"/>
              <w:bidi w:val="0"/>
              <w:adjustRightInd w:val="0"/>
              <w:snapToGrid w:val="0"/>
              <w:spacing w:beforeAutospacing="0" w:afterAutospacing="0" w:line="568" w:lineRule="exact"/>
              <w:jc w:val="center"/>
              <w:textAlignment w:val="baseline"/>
              <w:rPr>
                <w:rFonts w:hint="default" w:ascii="仿宋" w:hAnsi="仿宋" w:eastAsia="仿宋" w:cs="仿宋"/>
                <w:color w:val="auto"/>
                <w:kern w:val="0"/>
                <w:sz w:val="28"/>
                <w:szCs w:val="28"/>
                <w:highlight w:val="none"/>
                <w:lang w:val="en-US" w:eastAsia="zh-CN"/>
              </w:rPr>
            </w:pPr>
          </w:p>
        </w:tc>
      </w:tr>
      <w:tr w14:paraId="096C6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55" w:type="dxa"/>
            <w:gridSpan w:val="4"/>
          </w:tcPr>
          <w:p w14:paraId="229ADB5D">
            <w:pPr>
              <w:pageBreakBefore w:val="0"/>
              <w:shd w:val="clear"/>
              <w:bidi w:val="0"/>
              <w:adjustRightInd w:val="0"/>
              <w:snapToGrid w:val="0"/>
              <w:spacing w:beforeAutospacing="0" w:afterAutospacing="0" w:line="568" w:lineRule="exact"/>
              <w:textAlignment w:val="baseline"/>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 xml:space="preserve">                              被授权人签字：</w:t>
            </w:r>
          </w:p>
        </w:tc>
      </w:tr>
    </w:tbl>
    <w:p w14:paraId="59DB4C48">
      <w:pPr>
        <w:pageBreakBefore w:val="0"/>
        <w:shd w:val="clear"/>
        <w:bidi w:val="0"/>
        <w:adjustRightInd w:val="0"/>
        <w:snapToGrid w:val="0"/>
        <w:spacing w:beforeAutospacing="0" w:afterAutospacing="0" w:line="568" w:lineRule="exact"/>
        <w:ind w:firstLine="560" w:firstLineChars="200"/>
        <w:textAlignment w:val="baseline"/>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本授权书自授权之日起生效。</w:t>
      </w:r>
    </w:p>
    <w:p w14:paraId="36F78703">
      <w:pPr>
        <w:pageBreakBefore w:val="0"/>
        <w:shd w:val="clear"/>
        <w:bidi w:val="0"/>
        <w:adjustRightInd w:val="0"/>
        <w:snapToGrid w:val="0"/>
        <w:spacing w:beforeAutospacing="0" w:afterAutospacing="0" w:line="568" w:lineRule="exact"/>
        <w:ind w:firstLine="560" w:firstLineChars="200"/>
        <w:textAlignment w:val="baseline"/>
        <w:rPr>
          <w:rFonts w:hint="eastAsia" w:ascii="仿宋" w:hAnsi="仿宋" w:eastAsia="仿宋" w:cs="仿宋"/>
          <w:color w:val="auto"/>
          <w:kern w:val="0"/>
          <w:sz w:val="28"/>
          <w:szCs w:val="28"/>
          <w:highlight w:val="none"/>
        </w:rPr>
      </w:pPr>
    </w:p>
    <w:p w14:paraId="0CA5244C">
      <w:pPr>
        <w:pageBreakBefore w:val="0"/>
        <w:shd w:val="clear"/>
        <w:bidi w:val="0"/>
        <w:adjustRightInd w:val="0"/>
        <w:snapToGrid w:val="0"/>
        <w:spacing w:beforeAutospacing="0" w:afterAutospacing="0" w:line="568" w:lineRule="exact"/>
        <w:ind w:firstLine="560" w:firstLineChars="200"/>
        <w:textAlignment w:val="baseline"/>
        <w:rPr>
          <w:rFonts w:hint="eastAsia" w:ascii="仿宋" w:hAnsi="仿宋" w:eastAsia="仿宋" w:cs="仿宋"/>
          <w:color w:val="auto"/>
          <w:kern w:val="0"/>
          <w:sz w:val="28"/>
          <w:szCs w:val="28"/>
          <w:highlight w:val="none"/>
          <w:u w:val="single"/>
        </w:rPr>
      </w:pPr>
      <w:r>
        <w:rPr>
          <w:rFonts w:hint="eastAsia" w:ascii="仿宋" w:hAnsi="仿宋" w:eastAsia="仿宋" w:cs="仿宋"/>
          <w:color w:val="auto"/>
          <w:kern w:val="0"/>
          <w:sz w:val="28"/>
          <w:szCs w:val="28"/>
          <w:highlight w:val="none"/>
        </w:rPr>
        <w:t xml:space="preserve">  </w:t>
      </w:r>
      <w:r>
        <w:rPr>
          <w:rFonts w:hint="eastAsia" w:ascii="仿宋" w:hAnsi="仿宋" w:eastAsia="仿宋" w:cs="仿宋"/>
          <w:color w:val="auto"/>
          <w:kern w:val="0"/>
          <w:sz w:val="28"/>
          <w:szCs w:val="28"/>
          <w:highlight w:val="none"/>
          <w:lang w:val="en-US" w:eastAsia="zh-CN"/>
        </w:rPr>
        <w:t xml:space="preserve">     </w:t>
      </w:r>
      <w:r>
        <w:rPr>
          <w:rFonts w:hint="eastAsia" w:ascii="仿宋" w:hAnsi="仿宋" w:eastAsia="仿宋" w:cs="仿宋"/>
          <w:color w:val="auto"/>
          <w:kern w:val="0"/>
          <w:sz w:val="28"/>
          <w:szCs w:val="28"/>
          <w:highlight w:val="none"/>
        </w:rPr>
        <w:t xml:space="preserve">  </w:t>
      </w:r>
      <w:r>
        <w:rPr>
          <w:rFonts w:hint="eastAsia" w:ascii="仿宋" w:hAnsi="仿宋" w:eastAsia="仿宋" w:cs="仿宋"/>
          <w:color w:val="auto"/>
          <w:spacing w:val="21"/>
          <w:kern w:val="0"/>
          <w:sz w:val="28"/>
          <w:szCs w:val="28"/>
          <w:highlight w:val="none"/>
        </w:rPr>
        <w:t>授权单位（盖章）</w:t>
      </w:r>
      <w:r>
        <w:rPr>
          <w:rFonts w:hint="eastAsia" w:ascii="仿宋" w:hAnsi="仿宋" w:eastAsia="仿宋" w:cs="仿宋"/>
          <w:color w:val="auto"/>
          <w:kern w:val="0"/>
          <w:sz w:val="28"/>
          <w:szCs w:val="28"/>
          <w:highlight w:val="none"/>
        </w:rPr>
        <w:t>：</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u w:val="single"/>
          <w:lang w:val="en-US" w:eastAsia="zh-CN"/>
        </w:rPr>
        <w:t xml:space="preserve">             </w:t>
      </w:r>
      <w:r>
        <w:rPr>
          <w:rFonts w:hint="eastAsia" w:ascii="仿宋" w:hAnsi="仿宋" w:eastAsia="仿宋" w:cs="仿宋"/>
          <w:color w:val="auto"/>
          <w:kern w:val="0"/>
          <w:sz w:val="28"/>
          <w:szCs w:val="28"/>
          <w:highlight w:val="none"/>
          <w:u w:val="single"/>
        </w:rPr>
        <w:t xml:space="preserve">    </w:t>
      </w:r>
    </w:p>
    <w:p w14:paraId="5C036577">
      <w:pPr>
        <w:pageBreakBefore w:val="0"/>
        <w:shd w:val="clear"/>
        <w:bidi w:val="0"/>
        <w:adjustRightInd w:val="0"/>
        <w:snapToGrid w:val="0"/>
        <w:spacing w:beforeAutospacing="0" w:afterAutospacing="0" w:line="568" w:lineRule="exact"/>
        <w:ind w:firstLine="560" w:firstLineChars="200"/>
        <w:textAlignment w:val="baseline"/>
        <w:rPr>
          <w:rFonts w:hint="eastAsia" w:ascii="仿宋" w:hAnsi="仿宋" w:eastAsia="仿宋" w:cs="仿宋"/>
          <w:color w:val="auto"/>
          <w:kern w:val="0"/>
          <w:sz w:val="28"/>
          <w:szCs w:val="28"/>
          <w:highlight w:val="none"/>
          <w:u w:val="single"/>
        </w:rPr>
      </w:pPr>
      <w:r>
        <w:rPr>
          <w:rFonts w:hint="eastAsia" w:ascii="仿宋" w:hAnsi="仿宋" w:eastAsia="仿宋" w:cs="仿宋"/>
          <w:color w:val="auto"/>
          <w:kern w:val="0"/>
          <w:sz w:val="28"/>
          <w:szCs w:val="28"/>
          <w:highlight w:val="none"/>
        </w:rPr>
        <w:t xml:space="preserve">         法定代表人（签字）：</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u w:val="single"/>
          <w:lang w:val="en-US" w:eastAsia="zh-CN"/>
        </w:rPr>
        <w:t xml:space="preserve"> </w:t>
      </w:r>
      <w:r>
        <w:rPr>
          <w:rFonts w:hint="eastAsia" w:ascii="仿宋" w:hAnsi="仿宋" w:eastAsia="仿宋" w:cs="仿宋"/>
          <w:color w:val="auto"/>
          <w:kern w:val="0"/>
          <w:sz w:val="28"/>
          <w:szCs w:val="28"/>
          <w:highlight w:val="none"/>
          <w:u w:val="single"/>
        </w:rPr>
        <w:t xml:space="preserve">             </w:t>
      </w:r>
    </w:p>
    <w:p w14:paraId="79286C24">
      <w:pPr>
        <w:pageBreakBefore w:val="0"/>
        <w:shd w:val="clear"/>
        <w:bidi w:val="0"/>
        <w:adjustRightInd w:val="0"/>
        <w:snapToGrid w:val="0"/>
        <w:spacing w:beforeAutospacing="0" w:afterAutospacing="0" w:line="568" w:lineRule="exact"/>
        <w:ind w:firstLine="560" w:firstLineChars="200"/>
        <w:textAlignment w:val="baseline"/>
        <w:rPr>
          <w:rFonts w:hint="eastAsia" w:ascii="仿宋" w:hAnsi="仿宋" w:eastAsia="仿宋" w:cs="仿宋"/>
          <w:b/>
          <w:bCs/>
          <w:color w:val="auto"/>
          <w:sz w:val="28"/>
          <w:szCs w:val="28"/>
          <w:highlight w:val="none"/>
          <w:lang w:eastAsia="zh-CN"/>
        </w:rPr>
      </w:pPr>
      <w:r>
        <w:rPr>
          <w:rFonts w:hint="eastAsia" w:ascii="仿宋" w:hAnsi="仿宋" w:eastAsia="仿宋" w:cs="仿宋"/>
          <w:color w:val="auto"/>
          <w:kern w:val="0"/>
          <w:sz w:val="28"/>
          <w:szCs w:val="28"/>
          <w:highlight w:val="none"/>
        </w:rPr>
        <w:t xml:space="preserve">         </w:t>
      </w:r>
      <w:r>
        <w:rPr>
          <w:rFonts w:hint="eastAsia" w:ascii="仿宋" w:hAnsi="仿宋" w:eastAsia="仿宋" w:cs="仿宋"/>
          <w:color w:val="auto"/>
          <w:spacing w:val="21"/>
          <w:kern w:val="0"/>
          <w:sz w:val="28"/>
          <w:szCs w:val="28"/>
          <w:highlight w:val="none"/>
        </w:rPr>
        <w:t>授权日期：</w:t>
      </w:r>
      <w:r>
        <w:rPr>
          <w:rFonts w:hint="eastAsia" w:ascii="仿宋" w:hAnsi="仿宋" w:eastAsia="仿宋" w:cs="仿宋"/>
          <w:color w:val="auto"/>
          <w:kern w:val="0"/>
          <w:sz w:val="28"/>
          <w:szCs w:val="28"/>
          <w:highlight w:val="none"/>
          <w:lang w:val="en-US" w:eastAsia="zh-CN"/>
        </w:rPr>
        <w:t xml:space="preserve">    </w:t>
      </w:r>
      <w:r>
        <w:rPr>
          <w:rFonts w:hint="eastAsia" w:ascii="仿宋" w:hAnsi="仿宋" w:eastAsia="仿宋" w:cs="仿宋"/>
          <w:color w:val="auto"/>
          <w:kern w:val="0"/>
          <w:sz w:val="28"/>
          <w:szCs w:val="28"/>
          <w:highlight w:val="none"/>
        </w:rPr>
        <w:t>年</w:t>
      </w:r>
      <w:r>
        <w:rPr>
          <w:rFonts w:hint="eastAsia" w:ascii="仿宋" w:hAnsi="仿宋" w:eastAsia="仿宋" w:cs="仿宋"/>
          <w:color w:val="auto"/>
          <w:kern w:val="0"/>
          <w:sz w:val="28"/>
          <w:szCs w:val="28"/>
          <w:highlight w:val="none"/>
          <w:lang w:val="en-US" w:eastAsia="zh-CN"/>
        </w:rPr>
        <w:t xml:space="preserve">   </w:t>
      </w:r>
      <w:r>
        <w:rPr>
          <w:rFonts w:hint="eastAsia" w:ascii="仿宋" w:hAnsi="仿宋" w:eastAsia="仿宋" w:cs="仿宋"/>
          <w:color w:val="auto"/>
          <w:kern w:val="0"/>
          <w:sz w:val="28"/>
          <w:szCs w:val="28"/>
          <w:highlight w:val="none"/>
        </w:rPr>
        <w:t>月</w:t>
      </w:r>
      <w:r>
        <w:rPr>
          <w:rFonts w:hint="eastAsia" w:ascii="仿宋" w:hAnsi="仿宋" w:eastAsia="仿宋" w:cs="仿宋"/>
          <w:color w:val="auto"/>
          <w:kern w:val="0"/>
          <w:sz w:val="28"/>
          <w:szCs w:val="28"/>
          <w:highlight w:val="none"/>
          <w:lang w:val="en-US" w:eastAsia="zh-CN"/>
        </w:rPr>
        <w:t xml:space="preserve">  </w:t>
      </w:r>
      <w:r>
        <w:rPr>
          <w:rFonts w:hint="eastAsia" w:ascii="仿宋" w:hAnsi="仿宋" w:eastAsia="仿宋" w:cs="仿宋"/>
          <w:color w:val="auto"/>
          <w:kern w:val="0"/>
          <w:sz w:val="28"/>
          <w:szCs w:val="28"/>
          <w:highlight w:val="none"/>
        </w:rPr>
        <w:t>日</w:t>
      </w:r>
    </w:p>
    <w:p w14:paraId="3758374B">
      <w:pPr>
        <w:shd w:val="clea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br w:type="page"/>
      </w:r>
    </w:p>
    <w:p w14:paraId="0B398C52">
      <w:pPr>
        <w:pageBreakBefore w:val="0"/>
        <w:widowControl/>
        <w:shd w:val="clear"/>
        <w:bidi w:val="0"/>
        <w:adjustRightInd w:val="0"/>
        <w:snapToGrid w:val="0"/>
        <w:spacing w:beforeAutospacing="0" w:afterAutospacing="0" w:line="568" w:lineRule="exact"/>
        <w:jc w:val="left"/>
        <w:outlineLvl w:val="9"/>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附件6</w:t>
      </w:r>
    </w:p>
    <w:p w14:paraId="0CE02B16">
      <w:pPr>
        <w:pageBreakBefore w:val="0"/>
        <w:widowControl/>
        <w:shd w:val="clear"/>
        <w:bidi w:val="0"/>
        <w:adjustRightInd w:val="0"/>
        <w:snapToGrid w:val="0"/>
        <w:spacing w:beforeAutospacing="0" w:afterAutospacing="0" w:line="568" w:lineRule="exact"/>
        <w:outlineLvl w:val="2"/>
        <w:rPr>
          <w:rFonts w:ascii="黑体" w:eastAsia="黑体" w:cs="宋体"/>
          <w:b/>
          <w:bCs/>
          <w:color w:val="auto"/>
          <w:kern w:val="0"/>
          <w:sz w:val="36"/>
          <w:szCs w:val="36"/>
          <w:highlight w:val="none"/>
        </w:rPr>
      </w:pPr>
    </w:p>
    <w:p w14:paraId="255139EA">
      <w:pPr>
        <w:pageBreakBefore w:val="0"/>
        <w:widowControl/>
        <w:shd w:val="clear"/>
        <w:bidi w:val="0"/>
        <w:adjustRightInd w:val="0"/>
        <w:snapToGrid w:val="0"/>
        <w:spacing w:beforeAutospacing="0" w:afterAutospacing="0" w:line="568" w:lineRule="exact"/>
        <w:outlineLvl w:val="2"/>
        <w:rPr>
          <w:rFonts w:ascii="黑体" w:eastAsia="黑体" w:cs="宋体"/>
          <w:b/>
          <w:bCs/>
          <w:color w:val="auto"/>
          <w:kern w:val="0"/>
          <w:sz w:val="36"/>
          <w:szCs w:val="36"/>
          <w:highlight w:val="none"/>
        </w:rPr>
      </w:pPr>
    </w:p>
    <w:p w14:paraId="74BAD5A2">
      <w:pPr>
        <w:pageBreakBefore w:val="0"/>
        <w:widowControl/>
        <w:shd w:val="clear"/>
        <w:bidi w:val="0"/>
        <w:adjustRightInd w:val="0"/>
        <w:snapToGrid w:val="0"/>
        <w:spacing w:beforeAutospacing="0" w:afterAutospacing="0" w:line="568" w:lineRule="exact"/>
        <w:outlineLvl w:val="2"/>
        <w:rPr>
          <w:rFonts w:ascii="黑体" w:eastAsia="黑体" w:cs="宋体"/>
          <w:b/>
          <w:bCs/>
          <w:color w:val="auto"/>
          <w:kern w:val="0"/>
          <w:sz w:val="36"/>
          <w:szCs w:val="36"/>
          <w:highlight w:val="none"/>
        </w:rPr>
      </w:pPr>
    </w:p>
    <w:p w14:paraId="01A389FE">
      <w:pPr>
        <w:pageBreakBefore w:val="0"/>
        <w:widowControl/>
        <w:shd w:val="clear"/>
        <w:bidi w:val="0"/>
        <w:adjustRightInd w:val="0"/>
        <w:snapToGrid w:val="0"/>
        <w:spacing w:beforeAutospacing="0" w:afterAutospacing="0" w:line="568" w:lineRule="exact"/>
        <w:outlineLvl w:val="2"/>
        <w:rPr>
          <w:rFonts w:ascii="黑体" w:eastAsia="黑体" w:cs="宋体"/>
          <w:b/>
          <w:bCs/>
          <w:color w:val="auto"/>
          <w:kern w:val="0"/>
          <w:sz w:val="36"/>
          <w:szCs w:val="36"/>
          <w:highlight w:val="none"/>
        </w:rPr>
      </w:pPr>
      <w:r>
        <w:rPr>
          <w:rFonts w:ascii="黑体" w:eastAsia="黑体" w:cs="宋体"/>
          <w:b/>
          <w:bCs/>
          <w:color w:val="auto"/>
          <w:kern w:val="0"/>
          <w:sz w:val="36"/>
          <w:szCs w:val="36"/>
          <w:highlight w:val="none"/>
        </w:rPr>
        <mc:AlternateContent>
          <mc:Choice Requires="wps">
            <w:drawing>
              <wp:anchor distT="0" distB="0" distL="114300" distR="114300" simplePos="0" relativeHeight="251659264" behindDoc="0" locked="0" layoutInCell="1" allowOverlap="1">
                <wp:simplePos x="0" y="0"/>
                <wp:positionH relativeFrom="column">
                  <wp:posOffset>2400300</wp:posOffset>
                </wp:positionH>
                <wp:positionV relativeFrom="paragraph">
                  <wp:posOffset>215900</wp:posOffset>
                </wp:positionV>
                <wp:extent cx="1028700" cy="4259580"/>
                <wp:effectExtent l="4445" t="5080" r="18415" b="17780"/>
                <wp:wrapNone/>
                <wp:docPr id="5" name="Text Box 19"/>
                <wp:cNvGraphicFramePr/>
                <a:graphic xmlns:a="http://schemas.openxmlformats.org/drawingml/2006/main">
                  <a:graphicData uri="http://schemas.microsoft.com/office/word/2010/wordprocessingShape">
                    <wps:wsp>
                      <wps:cNvSpPr txBox="1"/>
                      <wps:spPr>
                        <a:xfrm>
                          <a:off x="0" y="0"/>
                          <a:ext cx="1028700" cy="425958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2D49F832">
                            <w:pPr>
                              <w:rPr>
                                <w:rFonts w:ascii="新宋体" w:hAnsi="新宋体" w:eastAsia="新宋体"/>
                                <w:sz w:val="72"/>
                                <w:szCs w:val="72"/>
                              </w:rPr>
                            </w:pPr>
                            <w:r>
                              <w:rPr>
                                <w:rFonts w:ascii="新宋体" w:hAnsi="新宋体" w:eastAsia="新宋体" w:cs="宋体"/>
                                <w:b/>
                                <w:bCs/>
                                <w:kern w:val="0"/>
                                <w:sz w:val="72"/>
                                <w:szCs w:val="72"/>
                              </w:rPr>
                              <w:t>安全生产责任书</w:t>
                            </w:r>
                          </w:p>
                        </w:txbxContent>
                      </wps:txbx>
                      <wps:bodyPr vert="eaVert" upright="1"/>
                    </wps:wsp>
                  </a:graphicData>
                </a:graphic>
              </wp:anchor>
            </w:drawing>
          </mc:Choice>
          <mc:Fallback>
            <w:pict>
              <v:shape id="Text Box 19" o:spid="_x0000_s1026" o:spt="202" type="#_x0000_t202" style="position:absolute;left:0pt;margin-left:189pt;margin-top:17pt;height:335.4pt;width:81pt;z-index:251659264;mso-width-relative:page;mso-height-relative:page;" fillcolor="#FFFFFF" filled="t" stroked="t" coordsize="21600,21600" o:gfxdata="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Ph46oNUAAAAKAQAADwAAAAAAAAABACAAAAAiAAAAZHJzL2Rvd25y&#10;ZXYueG1sUEsBAhQAFAAAAAgAh07iQOpJW30BAgAARQQAAA4AAAAAAAAAAQAgAAAAJAEAAGRycy9l&#10;Mm9Eb2MueG1sUEsFBgAAAAAGAAYAWQEAAJcFAAAAAA==&#10;">
                <v:fill on="t" focussize="0,0"/>
                <v:stroke color="#FFFFFF" joinstyle="miter"/>
                <v:imagedata o:title=""/>
                <o:lock v:ext="edit" aspectratio="f"/>
                <v:textbox style="layout-flow:vertical-ideographic;">
                  <w:txbxContent>
                    <w:p w14:paraId="2D49F832">
                      <w:pPr>
                        <w:rPr>
                          <w:rFonts w:ascii="新宋体" w:hAnsi="新宋体" w:eastAsia="新宋体"/>
                          <w:sz w:val="72"/>
                          <w:szCs w:val="72"/>
                        </w:rPr>
                      </w:pPr>
                      <w:r>
                        <w:rPr>
                          <w:rFonts w:ascii="新宋体" w:hAnsi="新宋体" w:eastAsia="新宋体" w:cs="宋体"/>
                          <w:b/>
                          <w:bCs/>
                          <w:kern w:val="0"/>
                          <w:sz w:val="72"/>
                          <w:szCs w:val="72"/>
                        </w:rPr>
                        <w:t>安全生产责任书</w:t>
                      </w:r>
                    </w:p>
                  </w:txbxContent>
                </v:textbox>
              </v:shape>
            </w:pict>
          </mc:Fallback>
        </mc:AlternateContent>
      </w:r>
    </w:p>
    <w:p w14:paraId="01DE2FA6">
      <w:pPr>
        <w:pageBreakBefore w:val="0"/>
        <w:widowControl/>
        <w:shd w:val="clear"/>
        <w:bidi w:val="0"/>
        <w:adjustRightInd w:val="0"/>
        <w:snapToGrid w:val="0"/>
        <w:spacing w:beforeAutospacing="0" w:afterAutospacing="0" w:line="568" w:lineRule="exact"/>
        <w:outlineLvl w:val="2"/>
        <w:rPr>
          <w:rFonts w:ascii="黑体" w:eastAsia="黑体" w:cs="宋体"/>
          <w:b/>
          <w:bCs/>
          <w:color w:val="auto"/>
          <w:kern w:val="0"/>
          <w:sz w:val="36"/>
          <w:szCs w:val="36"/>
          <w:highlight w:val="none"/>
        </w:rPr>
      </w:pPr>
    </w:p>
    <w:p w14:paraId="58FB253B">
      <w:pPr>
        <w:pageBreakBefore w:val="0"/>
        <w:widowControl/>
        <w:shd w:val="clear"/>
        <w:bidi w:val="0"/>
        <w:adjustRightInd w:val="0"/>
        <w:snapToGrid w:val="0"/>
        <w:spacing w:beforeAutospacing="0" w:afterAutospacing="0" w:line="568" w:lineRule="exact"/>
        <w:outlineLvl w:val="2"/>
        <w:rPr>
          <w:rFonts w:ascii="黑体" w:eastAsia="黑体" w:cs="宋体"/>
          <w:b/>
          <w:bCs/>
          <w:color w:val="auto"/>
          <w:kern w:val="0"/>
          <w:sz w:val="36"/>
          <w:szCs w:val="36"/>
          <w:highlight w:val="none"/>
        </w:rPr>
      </w:pPr>
    </w:p>
    <w:p w14:paraId="538E7346">
      <w:pPr>
        <w:pageBreakBefore w:val="0"/>
        <w:widowControl/>
        <w:shd w:val="clear"/>
        <w:bidi w:val="0"/>
        <w:adjustRightInd w:val="0"/>
        <w:snapToGrid w:val="0"/>
        <w:spacing w:beforeAutospacing="0" w:afterAutospacing="0" w:line="568" w:lineRule="exact"/>
        <w:outlineLvl w:val="2"/>
        <w:rPr>
          <w:rFonts w:ascii="黑体" w:eastAsia="黑体" w:cs="宋体"/>
          <w:b/>
          <w:bCs/>
          <w:color w:val="auto"/>
          <w:kern w:val="0"/>
          <w:sz w:val="36"/>
          <w:szCs w:val="36"/>
          <w:highlight w:val="none"/>
        </w:rPr>
      </w:pPr>
    </w:p>
    <w:p w14:paraId="3B525A8E">
      <w:pPr>
        <w:pageBreakBefore w:val="0"/>
        <w:widowControl/>
        <w:shd w:val="clear"/>
        <w:bidi w:val="0"/>
        <w:adjustRightInd w:val="0"/>
        <w:snapToGrid w:val="0"/>
        <w:spacing w:beforeAutospacing="0" w:afterAutospacing="0" w:line="568" w:lineRule="exact"/>
        <w:outlineLvl w:val="2"/>
        <w:rPr>
          <w:rFonts w:ascii="黑体" w:eastAsia="黑体" w:cs="宋体"/>
          <w:b/>
          <w:bCs/>
          <w:color w:val="auto"/>
          <w:kern w:val="0"/>
          <w:sz w:val="36"/>
          <w:szCs w:val="36"/>
          <w:highlight w:val="none"/>
        </w:rPr>
      </w:pPr>
    </w:p>
    <w:p w14:paraId="6B2A2196">
      <w:pPr>
        <w:pageBreakBefore w:val="0"/>
        <w:widowControl/>
        <w:shd w:val="clear"/>
        <w:bidi w:val="0"/>
        <w:adjustRightInd w:val="0"/>
        <w:snapToGrid w:val="0"/>
        <w:spacing w:beforeAutospacing="0" w:afterAutospacing="0" w:line="568" w:lineRule="exact"/>
        <w:outlineLvl w:val="2"/>
        <w:rPr>
          <w:rFonts w:ascii="黑体" w:eastAsia="黑体" w:cs="宋体"/>
          <w:b/>
          <w:bCs/>
          <w:color w:val="auto"/>
          <w:kern w:val="0"/>
          <w:sz w:val="36"/>
          <w:szCs w:val="36"/>
          <w:highlight w:val="none"/>
        </w:rPr>
      </w:pPr>
    </w:p>
    <w:p w14:paraId="167DC249">
      <w:pPr>
        <w:pageBreakBefore w:val="0"/>
        <w:widowControl/>
        <w:shd w:val="clear"/>
        <w:bidi w:val="0"/>
        <w:adjustRightInd w:val="0"/>
        <w:snapToGrid w:val="0"/>
        <w:spacing w:beforeAutospacing="0" w:afterAutospacing="0" w:line="568" w:lineRule="exact"/>
        <w:outlineLvl w:val="2"/>
        <w:rPr>
          <w:rFonts w:ascii="黑体" w:eastAsia="黑体" w:cs="宋体"/>
          <w:b/>
          <w:bCs/>
          <w:color w:val="auto"/>
          <w:kern w:val="0"/>
          <w:sz w:val="36"/>
          <w:szCs w:val="36"/>
          <w:highlight w:val="none"/>
        </w:rPr>
      </w:pPr>
    </w:p>
    <w:p w14:paraId="68429E66">
      <w:pPr>
        <w:pageBreakBefore w:val="0"/>
        <w:widowControl/>
        <w:shd w:val="clear"/>
        <w:bidi w:val="0"/>
        <w:adjustRightInd w:val="0"/>
        <w:snapToGrid w:val="0"/>
        <w:spacing w:beforeAutospacing="0" w:afterAutospacing="0" w:line="568" w:lineRule="exact"/>
        <w:outlineLvl w:val="2"/>
        <w:rPr>
          <w:rFonts w:ascii="黑体" w:eastAsia="黑体" w:cs="宋体"/>
          <w:b/>
          <w:bCs/>
          <w:color w:val="auto"/>
          <w:kern w:val="0"/>
          <w:sz w:val="36"/>
          <w:szCs w:val="36"/>
          <w:highlight w:val="none"/>
        </w:rPr>
      </w:pPr>
    </w:p>
    <w:p w14:paraId="4DB4D05D">
      <w:pPr>
        <w:pageBreakBefore w:val="0"/>
        <w:widowControl/>
        <w:shd w:val="clear"/>
        <w:bidi w:val="0"/>
        <w:adjustRightInd w:val="0"/>
        <w:snapToGrid w:val="0"/>
        <w:spacing w:beforeAutospacing="0" w:afterAutospacing="0" w:line="568" w:lineRule="exact"/>
        <w:outlineLvl w:val="2"/>
        <w:rPr>
          <w:rFonts w:ascii="黑体" w:eastAsia="黑体" w:cs="宋体"/>
          <w:b/>
          <w:bCs/>
          <w:color w:val="auto"/>
          <w:kern w:val="0"/>
          <w:sz w:val="36"/>
          <w:szCs w:val="36"/>
          <w:highlight w:val="none"/>
        </w:rPr>
      </w:pPr>
    </w:p>
    <w:p w14:paraId="5E3529E6">
      <w:pPr>
        <w:pageBreakBefore w:val="0"/>
        <w:widowControl/>
        <w:shd w:val="clear"/>
        <w:bidi w:val="0"/>
        <w:adjustRightInd w:val="0"/>
        <w:snapToGrid w:val="0"/>
        <w:spacing w:beforeAutospacing="0" w:afterAutospacing="0" w:line="568" w:lineRule="exact"/>
        <w:outlineLvl w:val="2"/>
        <w:rPr>
          <w:rFonts w:ascii="黑体" w:eastAsia="黑体" w:cs="宋体"/>
          <w:b/>
          <w:bCs/>
          <w:color w:val="auto"/>
          <w:kern w:val="0"/>
          <w:sz w:val="36"/>
          <w:szCs w:val="36"/>
          <w:highlight w:val="none"/>
        </w:rPr>
      </w:pPr>
    </w:p>
    <w:p w14:paraId="7E7076E1">
      <w:pPr>
        <w:pageBreakBefore w:val="0"/>
        <w:widowControl/>
        <w:shd w:val="clear"/>
        <w:bidi w:val="0"/>
        <w:adjustRightInd w:val="0"/>
        <w:snapToGrid w:val="0"/>
        <w:spacing w:beforeAutospacing="0" w:afterAutospacing="0" w:line="568" w:lineRule="exact"/>
        <w:outlineLvl w:val="2"/>
        <w:rPr>
          <w:rFonts w:ascii="黑体" w:eastAsia="黑体" w:cs="宋体"/>
          <w:b/>
          <w:bCs/>
          <w:color w:val="auto"/>
          <w:kern w:val="0"/>
          <w:sz w:val="36"/>
          <w:szCs w:val="36"/>
          <w:highlight w:val="none"/>
        </w:rPr>
      </w:pPr>
    </w:p>
    <w:p w14:paraId="0E2A08DB">
      <w:pPr>
        <w:pageBreakBefore w:val="0"/>
        <w:widowControl/>
        <w:shd w:val="clear"/>
        <w:bidi w:val="0"/>
        <w:adjustRightInd w:val="0"/>
        <w:snapToGrid w:val="0"/>
        <w:spacing w:beforeAutospacing="0" w:afterAutospacing="0" w:line="568" w:lineRule="exact"/>
        <w:outlineLvl w:val="2"/>
        <w:rPr>
          <w:rFonts w:ascii="黑体" w:eastAsia="黑体" w:cs="宋体"/>
          <w:b/>
          <w:bCs/>
          <w:color w:val="auto"/>
          <w:kern w:val="0"/>
          <w:sz w:val="36"/>
          <w:szCs w:val="36"/>
          <w:highlight w:val="none"/>
        </w:rPr>
      </w:pPr>
    </w:p>
    <w:p w14:paraId="08297BDB">
      <w:pPr>
        <w:pageBreakBefore w:val="0"/>
        <w:widowControl/>
        <w:shd w:val="clear"/>
        <w:bidi w:val="0"/>
        <w:adjustRightInd w:val="0"/>
        <w:snapToGrid w:val="0"/>
        <w:spacing w:beforeAutospacing="0" w:afterAutospacing="0" w:line="568" w:lineRule="exact"/>
        <w:outlineLvl w:val="2"/>
        <w:rPr>
          <w:rFonts w:ascii="黑体" w:eastAsia="黑体" w:cs="宋体"/>
          <w:b/>
          <w:bCs/>
          <w:color w:val="auto"/>
          <w:kern w:val="0"/>
          <w:sz w:val="36"/>
          <w:szCs w:val="36"/>
          <w:highlight w:val="none"/>
        </w:rPr>
      </w:pPr>
    </w:p>
    <w:p w14:paraId="2F0DA35A">
      <w:pPr>
        <w:pStyle w:val="3"/>
        <w:shd w:val="clear"/>
        <w:rPr>
          <w:color w:val="auto"/>
          <w:highlight w:val="none"/>
        </w:rPr>
      </w:pPr>
    </w:p>
    <w:p w14:paraId="53566E21">
      <w:pPr>
        <w:pageBreakBefore w:val="0"/>
        <w:widowControl/>
        <w:shd w:val="clear"/>
        <w:bidi w:val="0"/>
        <w:adjustRightInd w:val="0"/>
        <w:snapToGrid w:val="0"/>
        <w:spacing w:beforeAutospacing="0" w:afterAutospacing="0" w:line="568" w:lineRule="exact"/>
        <w:outlineLvl w:val="2"/>
        <w:rPr>
          <w:rFonts w:ascii="黑体" w:eastAsia="黑体" w:cs="宋体"/>
          <w:b/>
          <w:bCs/>
          <w:color w:val="auto"/>
          <w:kern w:val="0"/>
          <w:sz w:val="36"/>
          <w:szCs w:val="36"/>
          <w:highlight w:val="none"/>
        </w:rPr>
      </w:pPr>
    </w:p>
    <w:p w14:paraId="08802725">
      <w:pPr>
        <w:pageBreakBefore w:val="0"/>
        <w:widowControl/>
        <w:shd w:val="clear"/>
        <w:bidi w:val="0"/>
        <w:adjustRightInd w:val="0"/>
        <w:snapToGrid w:val="0"/>
        <w:spacing w:beforeAutospacing="0" w:afterAutospacing="0" w:line="568" w:lineRule="exact"/>
        <w:ind w:left="1964" w:leftChars="266" w:hanging="1405" w:hangingChars="500"/>
        <w:outlineLvl w:val="2"/>
        <w:rPr>
          <w:rFonts w:ascii="黑体" w:eastAsia="黑体" w:cs="宋体"/>
          <w:b/>
          <w:bCs/>
          <w:color w:val="auto"/>
          <w:kern w:val="0"/>
          <w:sz w:val="28"/>
          <w:szCs w:val="28"/>
          <w:highlight w:val="none"/>
        </w:rPr>
      </w:pPr>
      <w:r>
        <w:rPr>
          <w:rFonts w:ascii="黑体" w:eastAsia="黑体" w:cs="宋体"/>
          <w:b/>
          <w:bCs/>
          <w:color w:val="auto"/>
          <w:kern w:val="0"/>
          <w:sz w:val="28"/>
          <w:szCs w:val="28"/>
          <w:highlight w:val="none"/>
        </w:rPr>
        <w:t>项目名称：</w:t>
      </w:r>
      <w:r>
        <w:rPr>
          <w:rFonts w:hint="eastAsia" w:eastAsia="黑体"/>
          <w:b/>
          <w:color w:val="auto"/>
          <w:sz w:val="28"/>
          <w:szCs w:val="28"/>
          <w:highlight w:val="none"/>
          <w:u w:val="single"/>
          <w:lang w:eastAsia="zh-CN"/>
        </w:rPr>
        <w:t>芙蓉生态新城六号安置小区（一期）外墙防水工程项目</w:t>
      </w:r>
    </w:p>
    <w:p w14:paraId="698CD739">
      <w:pPr>
        <w:pageBreakBefore w:val="0"/>
        <w:widowControl/>
        <w:shd w:val="clear"/>
        <w:bidi w:val="0"/>
        <w:adjustRightInd w:val="0"/>
        <w:snapToGrid w:val="0"/>
        <w:spacing w:beforeAutospacing="0" w:afterAutospacing="0" w:line="568" w:lineRule="exact"/>
        <w:ind w:firstLine="562" w:firstLineChars="200"/>
        <w:outlineLvl w:val="2"/>
        <w:rPr>
          <w:rFonts w:hint="eastAsia" w:ascii="黑体" w:eastAsia="黑体" w:cs="宋体"/>
          <w:b/>
          <w:bCs/>
          <w:color w:val="auto"/>
          <w:kern w:val="0"/>
          <w:sz w:val="28"/>
          <w:szCs w:val="28"/>
          <w:highlight w:val="none"/>
          <w:u w:val="single"/>
          <w:lang w:eastAsia="zh-CN"/>
        </w:rPr>
      </w:pPr>
      <w:r>
        <w:rPr>
          <w:rFonts w:hint="eastAsia" w:ascii="黑体" w:eastAsia="黑体" w:cs="宋体"/>
          <w:b/>
          <w:bCs/>
          <w:color w:val="auto"/>
          <w:kern w:val="0"/>
          <w:sz w:val="28"/>
          <w:szCs w:val="28"/>
          <w:highlight w:val="none"/>
          <w:lang w:eastAsia="zh-CN"/>
        </w:rPr>
        <w:t>发包人</w:t>
      </w:r>
      <w:r>
        <w:rPr>
          <w:rFonts w:ascii="黑体" w:eastAsia="黑体" w:cs="宋体"/>
          <w:b/>
          <w:bCs/>
          <w:color w:val="auto"/>
          <w:kern w:val="0"/>
          <w:sz w:val="28"/>
          <w:szCs w:val="28"/>
          <w:highlight w:val="none"/>
        </w:rPr>
        <w:t>：</w:t>
      </w:r>
      <w:r>
        <w:rPr>
          <w:rFonts w:hint="eastAsia" w:ascii="黑体" w:eastAsia="黑体" w:cs="宋体"/>
          <w:b/>
          <w:bCs/>
          <w:color w:val="auto"/>
          <w:kern w:val="0"/>
          <w:sz w:val="28"/>
          <w:szCs w:val="28"/>
          <w:highlight w:val="none"/>
          <w:u w:val="single"/>
          <w:lang w:eastAsia="zh-CN"/>
        </w:rPr>
        <w:t>长沙芙蓉新城置业有限公司</w:t>
      </w:r>
    </w:p>
    <w:p w14:paraId="6AF72A62">
      <w:pPr>
        <w:pageBreakBefore w:val="0"/>
        <w:widowControl/>
        <w:shd w:val="clear"/>
        <w:bidi w:val="0"/>
        <w:adjustRightInd w:val="0"/>
        <w:snapToGrid w:val="0"/>
        <w:spacing w:beforeAutospacing="0" w:afterAutospacing="0" w:line="568" w:lineRule="exact"/>
        <w:ind w:firstLine="562" w:firstLineChars="200"/>
        <w:outlineLvl w:val="2"/>
        <w:rPr>
          <w:rFonts w:hint="default" w:ascii="黑体" w:eastAsia="黑体" w:cs="宋体"/>
          <w:b/>
          <w:bCs/>
          <w:color w:val="auto"/>
          <w:kern w:val="0"/>
          <w:sz w:val="28"/>
          <w:szCs w:val="28"/>
          <w:highlight w:val="none"/>
          <w:u w:val="single"/>
          <w:lang w:val="en-US" w:eastAsia="zh-CN"/>
        </w:rPr>
      </w:pPr>
      <w:r>
        <w:rPr>
          <w:rFonts w:hint="eastAsia" w:ascii="黑体" w:eastAsia="黑体" w:cs="宋体"/>
          <w:b/>
          <w:bCs/>
          <w:color w:val="auto"/>
          <w:kern w:val="0"/>
          <w:sz w:val="28"/>
          <w:szCs w:val="28"/>
          <w:highlight w:val="none"/>
          <w:lang w:eastAsia="zh-CN"/>
        </w:rPr>
        <w:t>承包人</w:t>
      </w:r>
      <w:r>
        <w:rPr>
          <w:rFonts w:ascii="黑体" w:eastAsia="黑体" w:cs="宋体"/>
          <w:b/>
          <w:bCs/>
          <w:color w:val="auto"/>
          <w:kern w:val="0"/>
          <w:sz w:val="28"/>
          <w:szCs w:val="28"/>
          <w:highlight w:val="none"/>
        </w:rPr>
        <w:t>：</w:t>
      </w:r>
      <w:r>
        <w:rPr>
          <w:rFonts w:hint="eastAsia" w:ascii="黑体" w:eastAsia="黑体" w:cs="宋体"/>
          <w:b/>
          <w:bCs/>
          <w:color w:val="auto"/>
          <w:kern w:val="0"/>
          <w:sz w:val="28"/>
          <w:szCs w:val="28"/>
          <w:highlight w:val="none"/>
          <w:u w:val="single"/>
          <w:lang w:val="en-US" w:eastAsia="zh-CN"/>
        </w:rPr>
        <w:t xml:space="preserve">                        </w:t>
      </w:r>
    </w:p>
    <w:p w14:paraId="57CB5A24">
      <w:pPr>
        <w:pageBreakBefore w:val="0"/>
        <w:widowControl/>
        <w:shd w:val="clear"/>
        <w:bidi w:val="0"/>
        <w:adjustRightInd w:val="0"/>
        <w:snapToGrid w:val="0"/>
        <w:spacing w:beforeAutospacing="0" w:afterAutospacing="0" w:line="568" w:lineRule="exact"/>
        <w:jc w:val="center"/>
        <w:outlineLvl w:val="2"/>
        <w:rPr>
          <w:rFonts w:ascii="黑体" w:eastAsia="黑体" w:cs="宋体"/>
          <w:b/>
          <w:bCs/>
          <w:color w:val="auto"/>
          <w:kern w:val="0"/>
          <w:sz w:val="36"/>
          <w:szCs w:val="36"/>
          <w:highlight w:val="none"/>
        </w:rPr>
      </w:pPr>
      <w:r>
        <w:rPr>
          <w:rFonts w:ascii="黑体" w:eastAsia="黑体" w:cs="宋体"/>
          <w:b/>
          <w:bCs/>
          <w:color w:val="auto"/>
          <w:kern w:val="0"/>
          <w:sz w:val="36"/>
          <w:szCs w:val="36"/>
          <w:highlight w:val="none"/>
        </w:rPr>
        <w:br w:type="page"/>
      </w:r>
      <w:r>
        <w:rPr>
          <w:rFonts w:ascii="黑体" w:eastAsia="黑体" w:cs="宋体"/>
          <w:b/>
          <w:bCs/>
          <w:color w:val="auto"/>
          <w:kern w:val="0"/>
          <w:sz w:val="36"/>
          <w:szCs w:val="36"/>
          <w:highlight w:val="none"/>
        </w:rPr>
        <w:t>安全生产责任书</w:t>
      </w:r>
    </w:p>
    <w:p w14:paraId="5A13D93D">
      <w:pPr>
        <w:pageBreakBefore w:val="0"/>
        <w:shd w:val="clear"/>
        <w:bidi w:val="0"/>
        <w:adjustRightInd w:val="0"/>
        <w:snapToGrid w:val="0"/>
        <w:spacing w:beforeAutospacing="0" w:afterAutospacing="0" w:line="240" w:lineRule="auto"/>
        <w:ind w:firstLine="600" w:firstLineChars="2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为贯彻落实“安全第一，预防为主”的方针，全面落实安全生产责任制，强化安全管理，根据《中华人民共和国安全生产法》、《建设工程安全生产管理条例》、《湖南省建设工程质量和安全生产管理条例》以及芙蓉区区委、区政府关于加强安全生产精神，为确保重点工程建设安全生产特签订本安全生产责任书。</w:t>
      </w:r>
    </w:p>
    <w:p w14:paraId="46633A8B">
      <w:pPr>
        <w:pageBreakBefore w:val="0"/>
        <w:widowControl/>
        <w:shd w:val="clear"/>
        <w:bidi w:val="0"/>
        <w:adjustRightInd w:val="0"/>
        <w:snapToGrid w:val="0"/>
        <w:spacing w:beforeAutospacing="0" w:afterAutospacing="0" w:line="240" w:lineRule="auto"/>
        <w:ind w:firstLine="482" w:firstLineChars="200"/>
        <w:outlineLvl w:val="2"/>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一、工程概况</w:t>
      </w:r>
    </w:p>
    <w:p w14:paraId="6DD13E5C">
      <w:pPr>
        <w:pageBreakBefore w:val="0"/>
        <w:widowControl/>
        <w:shd w:val="clear"/>
        <w:bidi w:val="0"/>
        <w:adjustRightInd w:val="0"/>
        <w:snapToGrid w:val="0"/>
        <w:spacing w:beforeAutospacing="0" w:afterAutospacing="0" w:line="240" w:lineRule="auto"/>
        <w:ind w:firstLine="480" w:firstLineChars="200"/>
        <w:outlineLvl w:val="2"/>
        <w:rPr>
          <w:rFonts w:hint="eastAsia" w:ascii="仿宋" w:hAnsi="仿宋" w:eastAsia="仿宋" w:cs="仿宋"/>
          <w:color w:val="auto"/>
          <w:kern w:val="0"/>
          <w:sz w:val="24"/>
          <w:szCs w:val="24"/>
          <w:highlight w:val="none"/>
          <w:u w:val="single"/>
          <w:lang w:eastAsia="zh-CN"/>
        </w:rPr>
      </w:pPr>
      <w:r>
        <w:rPr>
          <w:rFonts w:hint="eastAsia" w:ascii="仿宋" w:hAnsi="仿宋" w:eastAsia="仿宋" w:cs="仿宋"/>
          <w:color w:val="auto"/>
          <w:kern w:val="0"/>
          <w:sz w:val="24"/>
          <w:szCs w:val="24"/>
          <w:highlight w:val="none"/>
        </w:rPr>
        <w:t>工程名称：</w:t>
      </w:r>
      <w:r>
        <w:rPr>
          <w:rFonts w:hint="eastAsia" w:ascii="仿宋" w:hAnsi="仿宋" w:eastAsia="仿宋" w:cs="仿宋"/>
          <w:color w:val="auto"/>
          <w:sz w:val="24"/>
          <w:szCs w:val="24"/>
          <w:highlight w:val="none"/>
          <w:u w:val="single"/>
          <w:lang w:eastAsia="zh-CN"/>
        </w:rPr>
        <w:t>芙蓉生态新城六号安置小区（一期）外墙防水工程项目</w:t>
      </w:r>
    </w:p>
    <w:p w14:paraId="50C7C49D">
      <w:pPr>
        <w:pageBreakBefore w:val="0"/>
        <w:widowControl/>
        <w:shd w:val="clear"/>
        <w:bidi w:val="0"/>
        <w:adjustRightInd w:val="0"/>
        <w:snapToGrid w:val="0"/>
        <w:spacing w:beforeAutospacing="0" w:afterAutospacing="0" w:line="240" w:lineRule="auto"/>
        <w:ind w:firstLine="480" w:firstLineChars="200"/>
        <w:outlineLvl w:val="2"/>
        <w:rPr>
          <w:rFonts w:hint="eastAsia" w:ascii="仿宋" w:hAnsi="仿宋" w:eastAsia="仿宋" w:cs="仿宋"/>
          <w:color w:val="auto"/>
          <w:kern w:val="0"/>
          <w:sz w:val="24"/>
          <w:szCs w:val="24"/>
          <w:highlight w:val="none"/>
          <w:u w:val="single"/>
        </w:rPr>
      </w:pPr>
      <w:r>
        <w:rPr>
          <w:rFonts w:hint="eastAsia" w:ascii="仿宋" w:hAnsi="仿宋" w:eastAsia="仿宋" w:cs="仿宋"/>
          <w:color w:val="auto"/>
          <w:kern w:val="0"/>
          <w:sz w:val="24"/>
          <w:szCs w:val="24"/>
          <w:highlight w:val="none"/>
        </w:rPr>
        <w:t>工程地点：</w:t>
      </w:r>
      <w:r>
        <w:rPr>
          <w:rFonts w:hint="eastAsia" w:ascii="仿宋" w:hAnsi="仿宋" w:eastAsia="仿宋" w:cs="仿宋"/>
          <w:bCs/>
          <w:color w:val="auto"/>
          <w:kern w:val="0"/>
          <w:sz w:val="24"/>
          <w:szCs w:val="24"/>
          <w:highlight w:val="none"/>
          <w:u w:val="single"/>
        </w:rPr>
        <w:t>长沙市芙蓉区</w:t>
      </w:r>
      <w:r>
        <w:rPr>
          <w:rFonts w:hint="eastAsia" w:ascii="仿宋" w:hAnsi="仿宋" w:eastAsia="仿宋" w:cs="仿宋"/>
          <w:color w:val="auto"/>
          <w:kern w:val="0"/>
          <w:sz w:val="24"/>
          <w:szCs w:val="24"/>
          <w:highlight w:val="none"/>
          <w:u w:val="single"/>
        </w:rPr>
        <w:t>。</w:t>
      </w:r>
    </w:p>
    <w:p w14:paraId="69441B76">
      <w:pPr>
        <w:pageBreakBefore w:val="0"/>
        <w:widowControl/>
        <w:shd w:val="clear"/>
        <w:bidi w:val="0"/>
        <w:adjustRightInd w:val="0"/>
        <w:snapToGrid w:val="0"/>
        <w:spacing w:beforeAutospacing="0" w:afterAutospacing="0" w:line="240" w:lineRule="auto"/>
        <w:ind w:firstLine="482" w:firstLineChars="200"/>
        <w:outlineLvl w:val="2"/>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二、责任条款</w:t>
      </w:r>
    </w:p>
    <w:p w14:paraId="557A5092">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施工单位主要负责人依法对本单位的安全生产工作全面负责。施工单位应当建立健全安全生产责任制度和安全生产教育培训制度，制定安全生产规章制度和操作规程，对所承担的建设工程进行定期和专项安全检查，并做好安全检查记录。</w:t>
      </w:r>
    </w:p>
    <w:p w14:paraId="2AD657AA">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组织安全技术交底。技术负责人主管安全技术交底工作，并负责向分包单位交底的技术负责人进行交底，同时督促安全管理人员监督分包单位向现场施工人员进行交底。重要分项或重点部位的交底，必要时，可直接对操作人员进行交底。交底人要签上自己的名字和交底时间。</w:t>
      </w:r>
    </w:p>
    <w:p w14:paraId="3F582D1F">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（三）施工单位负责编制总的施工组织设计和专项安全施工组织设计。负责项目部安全技术资料的建立和管理。</w:t>
      </w:r>
    </w:p>
    <w:p w14:paraId="4267D40E">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施工单位对现场违章违纪现象及时制止、下达整改通知。加强施工现场安全用电管理，电工应加强巡视、维修检查，抓好移动电器和输电线路管理，接、送电由有专业资质的电工处理，临时用电验收应根据相关文件要求进行。</w:t>
      </w:r>
    </w:p>
    <w:p w14:paraId="5B523599">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（五）施工单位从事建设工程的新建、扩建、改建和拆除等活动，应当具备国家规定的注册资本、专业技术人员、技术装备和安全生产等条件，依法取得相应等级的资质证书。</w:t>
      </w:r>
    </w:p>
    <w:p w14:paraId="72B489B6">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（六）施工单位应编制施工现场应急预案，包括总预案和各类专项预案，施工单位应并经常组织演练。</w:t>
      </w:r>
    </w:p>
    <w:p w14:paraId="0C88F2B5">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（七）施工单位对列入建设工程概算的安全作业环境及安全施工措施所需费用，应当用于施工安全防护用具及设施的采购和更新、安全施工措施的落实、安全生产条件的改善，不得挪作他用。</w:t>
      </w:r>
    </w:p>
    <w:p w14:paraId="4F46FA68">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（八）施工单位应当设立安全生产管理机构，配备专职安全生产管理人员。专职安全生产管理人员负责对安全生产进行现场监督检查。对违章指挥、违章操作应当立即制止。　　</w:t>
      </w:r>
    </w:p>
    <w:p w14:paraId="55823F46">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九）建设工程实行施工总承包的，由总承包单位对施工现场的安全生产负总责。总承包单位应当自行完成建设工程主体结构的施工。总承包单位依法将建设工程分包给其他单位的，分包合同中应当明确各自的安全生产方面的权利、义务。总承包单位和分包单位对分包工程的安全生产承担连带责任。</w:t>
      </w:r>
    </w:p>
    <w:p w14:paraId="281D3753">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（十）垂直运输机械作业人员、安装拆卸工、爆破作业人员、起重信号工、登高架设作业人员等特种作业人员，必须按照国家有关规定经过专门的安全作业培训，并取得特种作业操作资格证书后，方可上岗作业。</w:t>
      </w:r>
    </w:p>
    <w:p w14:paraId="2773FEAB">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十一）施工单位应当在施工组织设计中编制安全技术措施和施工现场临时用电方案，对下列达到一定规模的危险性较大的分部分项工程编制专项施工方案，并附具安全验算结果，经施工单位技术负责人、总监理工程师签字后实施，由专职安全生产管理人员进行现场监督：</w:t>
      </w:r>
    </w:p>
    <w:p w14:paraId="63A467EF">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1、基坑支护与降水工程；</w:t>
      </w:r>
    </w:p>
    <w:p w14:paraId="023DA197">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2、土方开挖工程；</w:t>
      </w:r>
    </w:p>
    <w:p w14:paraId="3E8DBE83">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3、模板工程；</w:t>
      </w:r>
    </w:p>
    <w:p w14:paraId="658BC18C">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4、起重吊装工程；</w:t>
      </w:r>
    </w:p>
    <w:p w14:paraId="6EC718EA">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5、脚手架工程；</w:t>
      </w:r>
    </w:p>
    <w:p w14:paraId="50D0C7F0">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6、拆除、爆破工程；</w:t>
      </w:r>
    </w:p>
    <w:p w14:paraId="40B5E8DD">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7、国务院建设行政主管部门或者其他有关部门规定的其他危险性较大的工程。对前款所列工程中涉及深基坑、地下暗挖工程、高大模板工程的专项施工方案，施工单位还应当组织专家进行论证、审查。</w:t>
      </w:r>
    </w:p>
    <w:p w14:paraId="59614C37">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十二）施工单位应当在施工现场入口处、施工起重机械、临时用电设施、脚手架、出入通道口、楼梯口、电梯井口、孔洞口、桥梁口、隧道口、基坑边沿、爆破物及有害危险气体和液体存放处等危险部位，设置明显的安全警示标志。安全警示标志必须符合国家标准。</w:t>
      </w:r>
    </w:p>
    <w:p w14:paraId="122809BF">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十三）施工单位应当将施工现场的办公、生活区与作业区分开设置，并保持安全距离；办公、生活区的选址应当符合安全性要求。职工的膳食、饮水、休息场所等应当符合卫生标准。施工单位不得在尚未竣工的建筑物内设置员工集体宿舍。</w:t>
      </w:r>
    </w:p>
    <w:p w14:paraId="31F54269">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十四</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施工单位对因建设工程施工可能造成损害的毗邻建筑物、构筑物和地下管线等，应当采取专项防护措施。在城市市区内的建设工程，施工单位应当对施工现场实行封闭围挡。</w:t>
      </w:r>
    </w:p>
    <w:p w14:paraId="75A3BBB6">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十五）施工单位应当在施工现场建立消防安全责任制度，确定消防安全责任人，制定用火、用电、使用易燃易爆材料等各项消防安全管理制度和操作规程，设置消防通道、消防水源，配备消防设施和灭火器材，并在施工现场入口处设置明显标志。</w:t>
      </w:r>
    </w:p>
    <w:p w14:paraId="2CB5BBF7">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（十六）施工单位应当向作业人员提供安全防护用具和安全防护服装，并书面告知危险岗位的操作规程和违章操作的危害。</w:t>
      </w:r>
    </w:p>
    <w:p w14:paraId="4B3CEE68">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（十七）作业人员应当遵守安全施工的强制性标准、规章制度和操作规程，正确使用安全防护用具、机械设备等。</w:t>
      </w:r>
    </w:p>
    <w:p w14:paraId="68354D60">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十八</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施工单位采购、租赁的安全防护用具、机械设备、施工机具及配件，应当具有生产（制造）许可证、产品合格证，并在进入施工现场前进行查验。施工现场的安全防护用具、机械设备、施工机具及配件必须由专人管理，定期进行检查、维修和保养，建立相应的资料档案，并按照国家有关规定及时报废。</w:t>
      </w:r>
    </w:p>
    <w:p w14:paraId="6BDF7CDE">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十九</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施工单位在使用施工起重机械和整体提升脚手架、模板等自升式架设设施前，应当组织有关单位进行验收，也可以委托具有相应资质的检验检测机构进行验收；使用承租的机械设备和施工机具及配件的，由施工总承包单位、分包单位、出租单位和安装单位共同进行验收。验收合格的方可使用。《特种设备安全监察条例》规定的施工起重机械，在验收前应当经有相应资质的检验检测机构监督检验合格。</w:t>
      </w:r>
    </w:p>
    <w:p w14:paraId="15E220E9">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二十</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施工单位的主要负责人、项目负责人、专职安全生产管理人员应当经建设行政主管部门或者其他有关部门考核合格后方可任职。</w:t>
      </w:r>
    </w:p>
    <w:p w14:paraId="01B4A9AF">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二十一</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作业人员进入新的岗位或者新的施工现场前，应当接受安全生产教育培训。未经教育培训或者教育培训考核不合格的人员，不得上岗作业。</w:t>
      </w:r>
    </w:p>
    <w:p w14:paraId="03C0F864">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二十二</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施工单位应当为施工现场从事危险作业的人员办理意外伤害保险。</w:t>
      </w:r>
    </w:p>
    <w:p w14:paraId="1696942B">
      <w:pPr>
        <w:pageBreakBefore w:val="0"/>
        <w:shd w:val="clear"/>
        <w:bidi w:val="0"/>
        <w:adjustRightInd w:val="0"/>
        <w:snapToGrid w:val="0"/>
        <w:spacing w:beforeAutospacing="0" w:afterAutospacing="0" w:line="24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（二十三）承包人在施工过程中发生安全事故的，由承包人承担一切责任和损失（因发包方指挥不当造成的除外）。</w:t>
      </w:r>
    </w:p>
    <w:p w14:paraId="7CF1875D">
      <w:pPr>
        <w:pageBreakBefore w:val="0"/>
        <w:shd w:val="clear"/>
        <w:bidi w:val="0"/>
        <w:adjustRightInd w:val="0"/>
        <w:snapToGrid w:val="0"/>
        <w:spacing w:beforeAutospacing="0" w:afterAutospacing="0" w:line="24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三、奖惩条例</w:t>
      </w:r>
    </w:p>
    <w:p w14:paraId="7C29CF6B">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（一）工程项目开展安全生产专项检查活动中，若施工现场发现一处安全事故隐患予以500元/处罚款并限期整改，整改不到位的追罚500元/处。</w:t>
      </w:r>
    </w:p>
    <w:p w14:paraId="06CFBD42">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（二）施工单位发生一般安全事故按5000元/起罚款；如发现严重违规、违法施工造成重大事故将追究责任人的经济、法律责任。</w:t>
      </w:r>
    </w:p>
    <w:p w14:paraId="2266A5E1">
      <w:pPr>
        <w:pageBreakBefore w:val="0"/>
        <w:shd w:val="clear"/>
        <w:bidi w:val="0"/>
        <w:adjustRightInd w:val="0"/>
        <w:snapToGrid w:val="0"/>
        <w:spacing w:beforeAutospacing="0" w:afterAutospacing="0" w:line="24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四、其他事项</w:t>
      </w:r>
    </w:p>
    <w:p w14:paraId="06FA4ED7">
      <w:pPr>
        <w:pageBreakBefore w:val="0"/>
        <w:shd w:val="clear"/>
        <w:bidi w:val="0"/>
        <w:adjustRightInd w:val="0"/>
        <w:snapToGrid w:val="0"/>
        <w:spacing w:beforeAutospacing="0" w:afterAutospacing="0" w:line="24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一</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本责任状</w:t>
      </w:r>
      <w:r>
        <w:rPr>
          <w:rFonts w:hint="eastAsia" w:ascii="仿宋" w:hAnsi="仿宋" w:eastAsia="仿宋" w:cs="仿宋"/>
          <w:color w:val="auto"/>
          <w:kern w:val="0"/>
          <w:sz w:val="24"/>
          <w:szCs w:val="24"/>
          <w:highlight w:val="none"/>
        </w:rPr>
        <w:t>按主合同份数制作，按主合同份数收执</w:t>
      </w:r>
      <w:r>
        <w:rPr>
          <w:rFonts w:hint="eastAsia" w:ascii="仿宋" w:hAnsi="仿宋" w:eastAsia="仿宋" w:cs="仿宋"/>
          <w:color w:val="auto"/>
          <w:sz w:val="24"/>
          <w:szCs w:val="24"/>
          <w:highlight w:val="none"/>
        </w:rPr>
        <w:t xml:space="preserve">。 </w:t>
      </w:r>
    </w:p>
    <w:p w14:paraId="3A433738">
      <w:pPr>
        <w:pageBreakBefore w:val="0"/>
        <w:shd w:val="clear"/>
        <w:bidi w:val="0"/>
        <w:adjustRightInd w:val="0"/>
        <w:snapToGrid w:val="0"/>
        <w:spacing w:beforeAutospacing="0" w:afterAutospacing="0" w:line="24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（二）</w:t>
      </w:r>
      <w:r>
        <w:rPr>
          <w:rFonts w:hint="eastAsia" w:ascii="仿宋" w:hAnsi="仿宋" w:eastAsia="仿宋" w:cs="仿宋"/>
          <w:color w:val="auto"/>
          <w:sz w:val="24"/>
          <w:szCs w:val="24"/>
          <w:highlight w:val="none"/>
        </w:rPr>
        <w:t>本责任状自签订之日起至本工程项目全部竣工验收之日内有效，责任期限内如果责任人因故变更则由其继任人承担。</w:t>
      </w:r>
    </w:p>
    <w:p w14:paraId="271F4712">
      <w:pPr>
        <w:pageBreakBefore w:val="0"/>
        <w:shd w:val="clear"/>
        <w:bidi w:val="0"/>
        <w:adjustRightInd w:val="0"/>
        <w:snapToGrid w:val="0"/>
        <w:spacing w:beforeAutospacing="0" w:afterAutospacing="0" w:line="240" w:lineRule="auto"/>
        <w:ind w:firstLine="470" w:firstLineChars="196"/>
        <w:rPr>
          <w:rFonts w:hint="eastAsia" w:ascii="仿宋" w:hAnsi="仿宋" w:eastAsia="仿宋" w:cs="仿宋"/>
          <w:color w:val="auto"/>
          <w:sz w:val="24"/>
          <w:szCs w:val="24"/>
          <w:highlight w:val="none"/>
        </w:rPr>
      </w:pPr>
    </w:p>
    <w:p w14:paraId="445DB757">
      <w:pPr>
        <w:pStyle w:val="2"/>
        <w:pageBreakBefore w:val="0"/>
        <w:shd w:val="clear"/>
        <w:bidi w:val="0"/>
        <w:adjustRightInd w:val="0"/>
        <w:snapToGrid w:val="0"/>
        <w:spacing w:beforeAutospacing="0" w:afterAutospacing="0" w:line="240" w:lineRule="auto"/>
        <w:ind w:firstLine="480"/>
        <w:rPr>
          <w:rFonts w:hint="eastAsia" w:ascii="仿宋" w:hAnsi="仿宋" w:eastAsia="仿宋" w:cs="仿宋"/>
          <w:color w:val="auto"/>
          <w:sz w:val="24"/>
          <w:szCs w:val="24"/>
          <w:highlight w:val="none"/>
          <w:lang w:eastAsia="zh-CN"/>
        </w:rPr>
      </w:pPr>
    </w:p>
    <w:p w14:paraId="1044035A">
      <w:pPr>
        <w:pageBreakBefore w:val="0"/>
        <w:shd w:val="clear"/>
        <w:bidi w:val="0"/>
        <w:adjustRightInd w:val="0"/>
        <w:snapToGrid w:val="0"/>
        <w:spacing w:beforeAutospacing="0" w:afterAutospacing="0" w:line="24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发包人</w:t>
      </w:r>
      <w:r>
        <w:rPr>
          <w:rFonts w:hint="eastAsia" w:ascii="仿宋" w:hAnsi="仿宋" w:eastAsia="仿宋" w:cs="仿宋"/>
          <w:color w:val="auto"/>
          <w:sz w:val="24"/>
          <w:szCs w:val="24"/>
          <w:highlight w:val="none"/>
        </w:rPr>
        <w:t xml:space="preserve">：       </w:t>
      </w:r>
      <w:r>
        <w:rPr>
          <w:rFonts w:hint="eastAsia" w:ascii="仿宋" w:hAnsi="仿宋" w:eastAsia="仿宋" w:cs="仿宋"/>
          <w:color w:val="auto"/>
          <w:kern w:val="0"/>
          <w:sz w:val="24"/>
          <w:szCs w:val="24"/>
          <w:highlight w:val="none"/>
        </w:rPr>
        <w:t xml:space="preserve"> </w:t>
      </w:r>
      <w:r>
        <w:rPr>
          <w:rFonts w:hint="eastAsia" w:ascii="仿宋" w:hAnsi="仿宋" w:eastAsia="仿宋" w:cs="仿宋"/>
          <w:color w:val="auto"/>
          <w:sz w:val="24"/>
          <w:szCs w:val="24"/>
          <w:highlight w:val="none"/>
        </w:rPr>
        <w:t xml:space="preserve">    </w:t>
      </w:r>
    </w:p>
    <w:p w14:paraId="2FD3F370">
      <w:pPr>
        <w:pageBreakBefore w:val="0"/>
        <w:shd w:val="clear"/>
        <w:bidi w:val="0"/>
        <w:adjustRightInd w:val="0"/>
        <w:snapToGrid w:val="0"/>
        <w:spacing w:beforeAutospacing="0" w:afterAutospacing="0" w:line="240" w:lineRule="auto"/>
        <w:rPr>
          <w:rFonts w:hint="eastAsia" w:ascii="仿宋" w:hAnsi="仿宋" w:eastAsia="仿宋" w:cs="仿宋"/>
          <w:color w:val="auto"/>
          <w:sz w:val="24"/>
          <w:szCs w:val="24"/>
          <w:highlight w:val="none"/>
        </w:rPr>
      </w:pPr>
    </w:p>
    <w:p w14:paraId="5451AC3C">
      <w:pPr>
        <w:pageBreakBefore w:val="0"/>
        <w:shd w:val="clear"/>
        <w:bidi w:val="0"/>
        <w:adjustRightInd w:val="0"/>
        <w:snapToGrid w:val="0"/>
        <w:spacing w:beforeAutospacing="0" w:afterAutospacing="0" w:line="24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法人代表或授权代表签字：         </w:t>
      </w:r>
    </w:p>
    <w:p w14:paraId="466F7012">
      <w:pPr>
        <w:pageBreakBefore w:val="0"/>
        <w:shd w:val="clear"/>
        <w:bidi w:val="0"/>
        <w:adjustRightInd w:val="0"/>
        <w:snapToGrid w:val="0"/>
        <w:spacing w:beforeAutospacing="0" w:afterAutospacing="0" w:line="24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p w14:paraId="4A5E9797">
      <w:pPr>
        <w:pageBreakBefore w:val="0"/>
        <w:shd w:val="clear"/>
        <w:wordWrap w:val="0"/>
        <w:bidi w:val="0"/>
        <w:adjustRightInd w:val="0"/>
        <w:snapToGrid w:val="0"/>
        <w:spacing w:beforeAutospacing="0" w:afterAutospacing="0" w:line="240" w:lineRule="auto"/>
        <w:jc w:val="righ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日         </w:t>
      </w:r>
    </w:p>
    <w:p w14:paraId="6D7CA75B">
      <w:pPr>
        <w:pageBreakBefore w:val="0"/>
        <w:shd w:val="clear"/>
        <w:bidi w:val="0"/>
        <w:adjustRightInd w:val="0"/>
        <w:snapToGrid w:val="0"/>
        <w:spacing w:beforeAutospacing="0" w:afterAutospacing="0" w:line="24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p w14:paraId="7BEFB403">
      <w:pPr>
        <w:pageBreakBefore w:val="0"/>
        <w:shd w:val="clear"/>
        <w:bidi w:val="0"/>
        <w:adjustRightInd w:val="0"/>
        <w:snapToGrid w:val="0"/>
        <w:spacing w:beforeAutospacing="0" w:afterAutospacing="0" w:line="24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承包人</w:t>
      </w:r>
      <w:r>
        <w:rPr>
          <w:rFonts w:hint="eastAsia" w:ascii="仿宋" w:hAnsi="仿宋" w:eastAsia="仿宋" w:cs="仿宋"/>
          <w:color w:val="auto"/>
          <w:sz w:val="24"/>
          <w:szCs w:val="24"/>
          <w:highlight w:val="none"/>
        </w:rPr>
        <w:t xml:space="preserve">：                             </w:t>
      </w:r>
    </w:p>
    <w:p w14:paraId="28AF6A90">
      <w:pPr>
        <w:pageBreakBefore w:val="0"/>
        <w:shd w:val="clear"/>
        <w:bidi w:val="0"/>
        <w:adjustRightInd w:val="0"/>
        <w:snapToGrid w:val="0"/>
        <w:spacing w:beforeAutospacing="0" w:afterAutospacing="0" w:line="24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p w14:paraId="0284C77C">
      <w:pPr>
        <w:pageBreakBefore w:val="0"/>
        <w:shd w:val="clear"/>
        <w:bidi w:val="0"/>
        <w:adjustRightInd w:val="0"/>
        <w:snapToGrid w:val="0"/>
        <w:spacing w:beforeAutospacing="0" w:afterAutospacing="0" w:line="24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法人代表或授权代表签字：                </w:t>
      </w:r>
    </w:p>
    <w:p w14:paraId="56FDD7AA">
      <w:pPr>
        <w:pageBreakBefore w:val="0"/>
        <w:shd w:val="clear"/>
        <w:bidi w:val="0"/>
        <w:adjustRightInd w:val="0"/>
        <w:snapToGrid w:val="0"/>
        <w:spacing w:beforeAutospacing="0" w:afterAutospacing="0" w:line="24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p w14:paraId="09AE071B">
      <w:pPr>
        <w:pageBreakBefore w:val="0"/>
        <w:shd w:val="clear"/>
        <w:bidi w:val="0"/>
        <w:adjustRightInd w:val="0"/>
        <w:snapToGrid w:val="0"/>
        <w:spacing w:beforeAutospacing="0" w:afterAutospacing="0" w:line="240" w:lineRule="auto"/>
        <w:ind w:right="43" w:firstLine="120" w:firstLineChars="5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w:t>
      </w:r>
    </w:p>
    <w:p w14:paraId="76C2DC4B">
      <w:pPr>
        <w:pageBreakBefore w:val="0"/>
        <w:shd w:val="clear"/>
        <w:bidi w:val="0"/>
        <w:adjustRightInd w:val="0"/>
        <w:snapToGrid w:val="0"/>
        <w:spacing w:beforeAutospacing="0" w:afterAutospacing="0" w:line="240" w:lineRule="auto"/>
        <w:ind w:firstLine="480" w:firstLineChars="200"/>
        <w:rPr>
          <w:rFonts w:hint="eastAsia" w:ascii="仿宋" w:hAnsi="仿宋" w:eastAsia="仿宋" w:cs="仿宋"/>
          <w:color w:val="auto"/>
          <w:sz w:val="24"/>
          <w:szCs w:val="24"/>
          <w:highlight w:val="none"/>
        </w:rPr>
      </w:pPr>
      <w:bookmarkStart w:id="97" w:name="_Toc257384574"/>
      <w:bookmarkEnd w:id="97"/>
      <w:bookmarkStart w:id="98" w:name="_Toc257384568"/>
      <w:bookmarkEnd w:id="98"/>
      <w:bookmarkStart w:id="99" w:name="_Toc256878016"/>
      <w:bookmarkEnd w:id="99"/>
      <w:bookmarkStart w:id="100" w:name="_Toc256844699"/>
      <w:bookmarkEnd w:id="100"/>
      <w:bookmarkStart w:id="101" w:name="_Toc257022100"/>
      <w:bookmarkEnd w:id="101"/>
      <w:bookmarkStart w:id="102" w:name="_Toc257022094"/>
      <w:bookmarkEnd w:id="102"/>
      <w:bookmarkStart w:id="103" w:name="_Toc151273777"/>
      <w:bookmarkEnd w:id="103"/>
      <w:bookmarkStart w:id="104" w:name="_Toc151274059"/>
      <w:bookmarkEnd w:id="104"/>
      <w:bookmarkStart w:id="105" w:name="_Toc316735895"/>
      <w:bookmarkEnd w:id="105"/>
      <w:bookmarkStart w:id="106" w:name="_Toc257617370"/>
      <w:bookmarkEnd w:id="106"/>
      <w:bookmarkStart w:id="107" w:name="_Toc257022093"/>
      <w:bookmarkEnd w:id="107"/>
      <w:bookmarkStart w:id="108" w:name="_Toc263776758"/>
      <w:bookmarkEnd w:id="108"/>
      <w:bookmarkStart w:id="109" w:name="_Toc257617369"/>
      <w:bookmarkEnd w:id="109"/>
      <w:bookmarkStart w:id="110" w:name="_Toc149474150"/>
      <w:bookmarkEnd w:id="110"/>
      <w:bookmarkStart w:id="111" w:name="_Toc263776707"/>
      <w:bookmarkEnd w:id="111"/>
      <w:bookmarkStart w:id="112" w:name="_Toc263776757"/>
      <w:bookmarkEnd w:id="112"/>
      <w:bookmarkStart w:id="113" w:name="_Toc257022095"/>
      <w:bookmarkEnd w:id="113"/>
      <w:bookmarkStart w:id="114" w:name="_Toc257381089"/>
      <w:bookmarkEnd w:id="114"/>
      <w:bookmarkStart w:id="115" w:name="_Toc257381094"/>
      <w:bookmarkEnd w:id="115"/>
      <w:bookmarkStart w:id="116" w:name="_Toc151274058"/>
      <w:bookmarkEnd w:id="116"/>
      <w:bookmarkStart w:id="117" w:name="_Toc263776753"/>
      <w:bookmarkEnd w:id="117"/>
      <w:bookmarkStart w:id="118" w:name="_Toc151274050"/>
      <w:bookmarkEnd w:id="118"/>
      <w:bookmarkStart w:id="119" w:name="_Toc257617368"/>
      <w:bookmarkEnd w:id="119"/>
      <w:bookmarkStart w:id="120" w:name="_Toc256878021"/>
      <w:bookmarkEnd w:id="120"/>
      <w:bookmarkStart w:id="121" w:name="_Toc263776696"/>
      <w:bookmarkEnd w:id="121"/>
      <w:bookmarkStart w:id="122" w:name="_Hlt4640698"/>
      <w:bookmarkEnd w:id="122"/>
      <w:bookmarkStart w:id="123" w:name="_Toc257384567"/>
      <w:bookmarkEnd w:id="123"/>
      <w:bookmarkStart w:id="124" w:name="_Toc256878015"/>
      <w:bookmarkEnd w:id="124"/>
      <w:bookmarkStart w:id="125" w:name="_Toc257617374"/>
      <w:bookmarkEnd w:id="125"/>
      <w:bookmarkStart w:id="126" w:name="_Toc257384573"/>
      <w:bookmarkEnd w:id="126"/>
      <w:bookmarkStart w:id="127" w:name="_Toc151273771"/>
      <w:bookmarkEnd w:id="127"/>
      <w:bookmarkStart w:id="128" w:name="_Toc256844702"/>
      <w:bookmarkEnd w:id="128"/>
      <w:bookmarkStart w:id="129" w:name="_Toc263776752"/>
      <w:bookmarkEnd w:id="129"/>
      <w:bookmarkStart w:id="130" w:name="_Toc149474148"/>
      <w:bookmarkEnd w:id="130"/>
      <w:bookmarkStart w:id="131" w:name="_Toc257381095"/>
      <w:bookmarkEnd w:id="131"/>
      <w:bookmarkStart w:id="132" w:name="_Toc257381051"/>
      <w:bookmarkEnd w:id="132"/>
      <w:bookmarkStart w:id="133" w:name="_Toc151274052"/>
      <w:bookmarkEnd w:id="133"/>
      <w:bookmarkStart w:id="134" w:name="_Toc256878022"/>
      <w:bookmarkEnd w:id="134"/>
      <w:bookmarkStart w:id="135" w:name="_Toc234382877"/>
      <w:bookmarkEnd w:id="135"/>
      <w:bookmarkStart w:id="136" w:name="_Toc263776783"/>
      <w:bookmarkEnd w:id="136"/>
      <w:bookmarkStart w:id="137" w:name="_Toc256878017"/>
      <w:bookmarkEnd w:id="137"/>
      <w:bookmarkStart w:id="138" w:name="_Toc257022099"/>
      <w:bookmarkEnd w:id="138"/>
      <w:bookmarkStart w:id="139" w:name="_Toc263776710"/>
      <w:bookmarkEnd w:id="139"/>
      <w:bookmarkStart w:id="140" w:name="_Toc256844697"/>
      <w:bookmarkEnd w:id="140"/>
      <w:bookmarkStart w:id="141" w:name="_Toc151273769"/>
      <w:bookmarkEnd w:id="141"/>
      <w:bookmarkStart w:id="142" w:name="_Hlt193622744"/>
      <w:bookmarkEnd w:id="142"/>
      <w:bookmarkStart w:id="143" w:name="_Toc257381090"/>
      <w:bookmarkEnd w:id="143"/>
      <w:bookmarkStart w:id="144" w:name="_Toc257617375"/>
      <w:bookmarkEnd w:id="144"/>
      <w:bookmarkStart w:id="145" w:name="_Toc257381054"/>
      <w:bookmarkEnd w:id="145"/>
      <w:bookmarkStart w:id="146" w:name="_Toc263776751"/>
      <w:bookmarkEnd w:id="146"/>
      <w:bookmarkStart w:id="147" w:name="_Toc256844703"/>
      <w:bookmarkEnd w:id="147"/>
      <w:bookmarkStart w:id="148" w:name="_Toc151273778"/>
      <w:bookmarkEnd w:id="148"/>
      <w:bookmarkStart w:id="149" w:name="_Toc257384569"/>
      <w:bookmarkEnd w:id="149"/>
      <w:bookmarkStart w:id="150" w:name="_Toc263776713"/>
      <w:bookmarkEnd w:id="150"/>
      <w:bookmarkStart w:id="151" w:name="_Toc234382870"/>
      <w:bookmarkEnd w:id="151"/>
    </w:p>
    <w:p w14:paraId="48623D97">
      <w:pPr>
        <w:keepNext w:val="0"/>
        <w:keepLines w:val="0"/>
        <w:pageBreakBefore w:val="0"/>
        <w:overflowPunct/>
        <w:topLinePunct w:val="0"/>
        <w:bidi w:val="0"/>
        <w:snapToGrid w:val="0"/>
        <w:spacing w:line="360" w:lineRule="auto"/>
        <w:ind w:left="0" w:right="0" w:firstLine="422" w:firstLineChars="200"/>
        <w:jc w:val="left"/>
        <w:outlineLvl w:val="9"/>
        <w:rPr>
          <w:rFonts w:hint="eastAsia" w:ascii="宋体" w:hAnsi="宋体" w:eastAsia="宋体" w:cs="宋体"/>
          <w:b/>
          <w:color w:val="auto"/>
          <w:kern w:val="0"/>
          <w:sz w:val="21"/>
          <w:szCs w:val="21"/>
          <w:highlight w:val="none"/>
        </w:rPr>
      </w:pPr>
      <w:bookmarkStart w:id="152" w:name="OLE_LINK17"/>
      <w:bookmarkStart w:id="153" w:name="OLE_LINK11"/>
      <w:bookmarkStart w:id="154" w:name="OLE_LINK7"/>
      <w:bookmarkStart w:id="155" w:name="OLE_LINK12"/>
    </w:p>
    <w:p w14:paraId="6442A6BD">
      <w:pPr>
        <w:keepNext w:val="0"/>
        <w:keepLines w:val="0"/>
        <w:pageBreakBefore w:val="0"/>
        <w:overflowPunct/>
        <w:topLinePunct w:val="0"/>
        <w:bidi w:val="0"/>
        <w:snapToGrid w:val="0"/>
        <w:spacing w:line="360" w:lineRule="auto"/>
        <w:ind w:left="0" w:right="0" w:firstLine="422" w:firstLineChars="200"/>
        <w:jc w:val="left"/>
        <w:outlineLvl w:val="9"/>
        <w:rPr>
          <w:rFonts w:hint="eastAsia" w:ascii="宋体" w:hAnsi="宋体" w:eastAsia="宋体" w:cs="宋体"/>
          <w:b/>
          <w:color w:val="auto"/>
          <w:kern w:val="0"/>
          <w:sz w:val="21"/>
          <w:szCs w:val="21"/>
          <w:highlight w:val="none"/>
        </w:rPr>
      </w:pPr>
    </w:p>
    <w:p w14:paraId="321D1BC9">
      <w:pPr>
        <w:keepNext w:val="0"/>
        <w:keepLines w:val="0"/>
        <w:pageBreakBefore w:val="0"/>
        <w:overflowPunct/>
        <w:topLinePunct w:val="0"/>
        <w:bidi w:val="0"/>
        <w:snapToGrid w:val="0"/>
        <w:spacing w:line="360" w:lineRule="auto"/>
        <w:ind w:left="0" w:right="0" w:firstLine="422" w:firstLineChars="200"/>
        <w:jc w:val="left"/>
        <w:outlineLvl w:val="9"/>
        <w:rPr>
          <w:rFonts w:hint="eastAsia" w:ascii="宋体" w:hAnsi="宋体" w:eastAsia="宋体" w:cs="宋体"/>
          <w:b/>
          <w:color w:val="auto"/>
          <w:kern w:val="0"/>
          <w:sz w:val="21"/>
          <w:szCs w:val="21"/>
          <w:highlight w:val="none"/>
        </w:rPr>
      </w:pPr>
    </w:p>
    <w:p w14:paraId="0AF6C155">
      <w:pPr>
        <w:keepNext w:val="0"/>
        <w:keepLines w:val="0"/>
        <w:pageBreakBefore w:val="0"/>
        <w:overflowPunct/>
        <w:topLinePunct w:val="0"/>
        <w:bidi w:val="0"/>
        <w:snapToGrid w:val="0"/>
        <w:spacing w:line="360" w:lineRule="auto"/>
        <w:ind w:left="0" w:right="0" w:firstLine="422" w:firstLineChars="200"/>
        <w:jc w:val="left"/>
        <w:outlineLvl w:val="9"/>
        <w:rPr>
          <w:rFonts w:hint="eastAsia" w:ascii="宋体" w:hAnsi="宋体" w:eastAsia="宋体" w:cs="宋体"/>
          <w:b/>
          <w:color w:val="auto"/>
          <w:kern w:val="0"/>
          <w:sz w:val="21"/>
          <w:szCs w:val="21"/>
          <w:highlight w:val="none"/>
        </w:rPr>
      </w:pPr>
    </w:p>
    <w:p w14:paraId="745630A3">
      <w:pPr>
        <w:keepNext w:val="0"/>
        <w:keepLines w:val="0"/>
        <w:pageBreakBefore w:val="0"/>
        <w:overflowPunct/>
        <w:topLinePunct w:val="0"/>
        <w:bidi w:val="0"/>
        <w:snapToGrid w:val="0"/>
        <w:spacing w:line="360" w:lineRule="auto"/>
        <w:ind w:left="0" w:right="0" w:firstLine="422" w:firstLineChars="200"/>
        <w:jc w:val="left"/>
        <w:outlineLvl w:val="9"/>
        <w:rPr>
          <w:rFonts w:hint="eastAsia" w:ascii="宋体" w:hAnsi="宋体" w:eastAsia="宋体" w:cs="宋体"/>
          <w:b/>
          <w:color w:val="auto"/>
          <w:kern w:val="0"/>
          <w:sz w:val="21"/>
          <w:szCs w:val="21"/>
          <w:highlight w:val="none"/>
        </w:rPr>
      </w:pPr>
    </w:p>
    <w:p w14:paraId="517912E7">
      <w:pPr>
        <w:keepNext w:val="0"/>
        <w:keepLines w:val="0"/>
        <w:pageBreakBefore w:val="0"/>
        <w:overflowPunct/>
        <w:topLinePunct w:val="0"/>
        <w:bidi w:val="0"/>
        <w:snapToGrid w:val="0"/>
        <w:spacing w:line="360" w:lineRule="auto"/>
        <w:ind w:left="0" w:right="0" w:firstLine="422" w:firstLineChars="200"/>
        <w:jc w:val="left"/>
        <w:outlineLvl w:val="9"/>
        <w:rPr>
          <w:rFonts w:hint="eastAsia" w:ascii="宋体" w:hAnsi="宋体" w:eastAsia="宋体" w:cs="宋体"/>
          <w:b/>
          <w:color w:val="auto"/>
          <w:kern w:val="0"/>
          <w:sz w:val="21"/>
          <w:szCs w:val="21"/>
          <w:highlight w:val="none"/>
        </w:rPr>
      </w:pPr>
    </w:p>
    <w:p w14:paraId="618D9005">
      <w:pPr>
        <w:keepNext w:val="0"/>
        <w:keepLines w:val="0"/>
        <w:pageBreakBefore w:val="0"/>
        <w:overflowPunct/>
        <w:topLinePunct w:val="0"/>
        <w:bidi w:val="0"/>
        <w:snapToGrid w:val="0"/>
        <w:spacing w:line="360" w:lineRule="auto"/>
        <w:ind w:left="0" w:right="0" w:firstLine="422" w:firstLineChars="200"/>
        <w:jc w:val="left"/>
        <w:outlineLvl w:val="9"/>
        <w:rPr>
          <w:rFonts w:hint="eastAsia" w:ascii="宋体" w:hAnsi="宋体" w:eastAsia="宋体" w:cs="宋体"/>
          <w:b/>
          <w:color w:val="auto"/>
          <w:kern w:val="0"/>
          <w:sz w:val="21"/>
          <w:szCs w:val="21"/>
          <w:highlight w:val="none"/>
        </w:rPr>
      </w:pPr>
    </w:p>
    <w:p w14:paraId="542F3BA7">
      <w:pPr>
        <w:keepNext w:val="0"/>
        <w:keepLines w:val="0"/>
        <w:pageBreakBefore w:val="0"/>
        <w:overflowPunct/>
        <w:topLinePunct w:val="0"/>
        <w:bidi w:val="0"/>
        <w:snapToGrid w:val="0"/>
        <w:spacing w:line="360" w:lineRule="auto"/>
        <w:ind w:left="0" w:right="0" w:firstLine="422" w:firstLineChars="200"/>
        <w:jc w:val="left"/>
        <w:outlineLvl w:val="9"/>
        <w:rPr>
          <w:rFonts w:hint="eastAsia" w:ascii="宋体" w:hAnsi="宋体" w:eastAsia="宋体" w:cs="宋体"/>
          <w:b/>
          <w:color w:val="auto"/>
          <w:kern w:val="0"/>
          <w:sz w:val="21"/>
          <w:szCs w:val="21"/>
          <w:highlight w:val="none"/>
        </w:rPr>
      </w:pPr>
    </w:p>
    <w:p w14:paraId="55BCBD9F">
      <w:pPr>
        <w:keepNext w:val="0"/>
        <w:keepLines w:val="0"/>
        <w:pageBreakBefore w:val="0"/>
        <w:overflowPunct/>
        <w:topLinePunct w:val="0"/>
        <w:bidi w:val="0"/>
        <w:snapToGrid w:val="0"/>
        <w:spacing w:line="360" w:lineRule="auto"/>
        <w:ind w:left="0" w:right="0" w:firstLine="422" w:firstLineChars="200"/>
        <w:jc w:val="left"/>
        <w:outlineLvl w:val="9"/>
        <w:rPr>
          <w:rFonts w:hint="eastAsia" w:ascii="宋体" w:hAnsi="宋体" w:eastAsia="宋体" w:cs="宋体"/>
          <w:b/>
          <w:color w:val="auto"/>
          <w:kern w:val="0"/>
          <w:sz w:val="21"/>
          <w:szCs w:val="21"/>
          <w:highlight w:val="none"/>
        </w:rPr>
      </w:pPr>
    </w:p>
    <w:p w14:paraId="59B8CC87">
      <w:pPr>
        <w:keepNext w:val="0"/>
        <w:keepLines w:val="0"/>
        <w:pageBreakBefore w:val="0"/>
        <w:overflowPunct/>
        <w:topLinePunct w:val="0"/>
        <w:bidi w:val="0"/>
        <w:snapToGrid w:val="0"/>
        <w:spacing w:line="360" w:lineRule="auto"/>
        <w:ind w:left="0" w:right="0" w:firstLine="422" w:firstLineChars="200"/>
        <w:jc w:val="left"/>
        <w:outlineLvl w:val="9"/>
        <w:rPr>
          <w:rFonts w:hint="eastAsia" w:ascii="宋体" w:hAnsi="宋体" w:eastAsia="宋体" w:cs="宋体"/>
          <w:b/>
          <w:color w:val="auto"/>
          <w:kern w:val="0"/>
          <w:sz w:val="21"/>
          <w:szCs w:val="21"/>
          <w:highlight w:val="none"/>
        </w:rPr>
      </w:pPr>
    </w:p>
    <w:p w14:paraId="27C41E45">
      <w:pPr>
        <w:keepNext w:val="0"/>
        <w:keepLines w:val="0"/>
        <w:pageBreakBefore w:val="0"/>
        <w:overflowPunct/>
        <w:topLinePunct w:val="0"/>
        <w:bidi w:val="0"/>
        <w:snapToGrid w:val="0"/>
        <w:spacing w:line="360" w:lineRule="auto"/>
        <w:ind w:left="0" w:right="0" w:firstLine="422" w:firstLineChars="200"/>
        <w:jc w:val="left"/>
        <w:outlineLvl w:val="9"/>
        <w:rPr>
          <w:rFonts w:hint="eastAsia" w:ascii="宋体" w:hAnsi="宋体" w:eastAsia="宋体" w:cs="宋体"/>
          <w:b/>
          <w:color w:val="auto"/>
          <w:kern w:val="0"/>
          <w:sz w:val="21"/>
          <w:szCs w:val="21"/>
          <w:highlight w:val="none"/>
        </w:rPr>
      </w:pPr>
    </w:p>
    <w:p w14:paraId="2FB7CFDB">
      <w:pPr>
        <w:keepNext w:val="0"/>
        <w:keepLines w:val="0"/>
        <w:pageBreakBefore w:val="0"/>
        <w:overflowPunct/>
        <w:topLinePunct w:val="0"/>
        <w:bidi w:val="0"/>
        <w:snapToGrid w:val="0"/>
        <w:spacing w:line="360" w:lineRule="auto"/>
        <w:ind w:left="0" w:right="0" w:firstLine="422" w:firstLineChars="200"/>
        <w:jc w:val="left"/>
        <w:outlineLvl w:val="9"/>
        <w:rPr>
          <w:rFonts w:hint="eastAsia" w:ascii="宋体" w:hAnsi="宋体" w:eastAsia="宋体" w:cs="宋体"/>
          <w:b/>
          <w:color w:val="auto"/>
          <w:kern w:val="0"/>
          <w:sz w:val="21"/>
          <w:szCs w:val="21"/>
          <w:highlight w:val="none"/>
        </w:rPr>
      </w:pPr>
    </w:p>
    <w:p w14:paraId="1E6B51FF">
      <w:pPr>
        <w:keepNext w:val="0"/>
        <w:keepLines w:val="0"/>
        <w:pageBreakBefore w:val="0"/>
        <w:overflowPunct/>
        <w:topLinePunct w:val="0"/>
        <w:bidi w:val="0"/>
        <w:snapToGrid w:val="0"/>
        <w:spacing w:line="360" w:lineRule="auto"/>
        <w:ind w:left="0" w:right="0" w:firstLine="422" w:firstLineChars="200"/>
        <w:jc w:val="left"/>
        <w:outlineLvl w:val="9"/>
        <w:rPr>
          <w:rFonts w:hint="eastAsia" w:ascii="宋体" w:hAnsi="宋体" w:eastAsia="宋体" w:cs="宋体"/>
          <w:b/>
          <w:color w:val="auto"/>
          <w:kern w:val="0"/>
          <w:sz w:val="21"/>
          <w:szCs w:val="21"/>
          <w:highlight w:val="none"/>
        </w:rPr>
      </w:pPr>
    </w:p>
    <w:p w14:paraId="3857FBBC">
      <w:pPr>
        <w:keepNext w:val="0"/>
        <w:keepLines w:val="0"/>
        <w:pageBreakBefore w:val="0"/>
        <w:overflowPunct/>
        <w:topLinePunct w:val="0"/>
        <w:bidi w:val="0"/>
        <w:snapToGrid w:val="0"/>
        <w:spacing w:line="360" w:lineRule="auto"/>
        <w:ind w:left="0" w:right="0" w:firstLine="422" w:firstLineChars="200"/>
        <w:jc w:val="left"/>
        <w:outlineLvl w:val="9"/>
        <w:rPr>
          <w:rFonts w:hint="eastAsia" w:ascii="宋体" w:hAnsi="宋体" w:eastAsia="宋体" w:cs="宋体"/>
          <w:b/>
          <w:color w:val="auto"/>
          <w:kern w:val="0"/>
          <w:sz w:val="21"/>
          <w:szCs w:val="21"/>
          <w:highlight w:val="none"/>
        </w:rPr>
      </w:pPr>
    </w:p>
    <w:p w14:paraId="7CFBA1AB">
      <w:pPr>
        <w:keepNext w:val="0"/>
        <w:keepLines w:val="0"/>
        <w:pageBreakBefore w:val="0"/>
        <w:overflowPunct/>
        <w:topLinePunct w:val="0"/>
        <w:bidi w:val="0"/>
        <w:snapToGrid w:val="0"/>
        <w:spacing w:line="360" w:lineRule="auto"/>
        <w:ind w:left="0" w:right="0" w:firstLine="422" w:firstLineChars="200"/>
        <w:jc w:val="left"/>
        <w:outlineLvl w:val="9"/>
        <w:rPr>
          <w:rFonts w:hint="eastAsia" w:ascii="宋体" w:hAnsi="宋体" w:eastAsia="宋体" w:cs="宋体"/>
          <w:b/>
          <w:color w:val="auto"/>
          <w:kern w:val="0"/>
          <w:sz w:val="21"/>
          <w:szCs w:val="21"/>
          <w:highlight w:val="none"/>
        </w:rPr>
      </w:pPr>
    </w:p>
    <w:p w14:paraId="0067E2E0">
      <w:pPr>
        <w:keepNext w:val="0"/>
        <w:keepLines w:val="0"/>
        <w:pageBreakBefore w:val="0"/>
        <w:overflowPunct/>
        <w:topLinePunct w:val="0"/>
        <w:bidi w:val="0"/>
        <w:snapToGrid w:val="0"/>
        <w:spacing w:line="360" w:lineRule="auto"/>
        <w:ind w:left="0" w:right="0" w:firstLine="422" w:firstLineChars="200"/>
        <w:jc w:val="left"/>
        <w:outlineLvl w:val="9"/>
        <w:rPr>
          <w:rFonts w:hint="eastAsia" w:ascii="宋体" w:hAnsi="宋体" w:eastAsia="宋体" w:cs="宋体"/>
          <w:b/>
          <w:color w:val="auto"/>
          <w:kern w:val="0"/>
          <w:sz w:val="21"/>
          <w:szCs w:val="21"/>
          <w:highlight w:val="none"/>
        </w:rPr>
      </w:pPr>
    </w:p>
    <w:p w14:paraId="33993F2D">
      <w:pPr>
        <w:keepNext w:val="0"/>
        <w:keepLines w:val="0"/>
        <w:pageBreakBefore w:val="0"/>
        <w:overflowPunct/>
        <w:topLinePunct w:val="0"/>
        <w:bidi w:val="0"/>
        <w:snapToGrid w:val="0"/>
        <w:spacing w:line="360" w:lineRule="auto"/>
        <w:ind w:left="0" w:right="0" w:firstLine="422" w:firstLineChars="200"/>
        <w:jc w:val="left"/>
        <w:outlineLvl w:val="9"/>
        <w:rPr>
          <w:rFonts w:hint="eastAsia" w:ascii="宋体" w:hAnsi="宋体" w:eastAsia="宋体" w:cs="宋体"/>
          <w:b/>
          <w:color w:val="auto"/>
          <w:kern w:val="0"/>
          <w:sz w:val="21"/>
          <w:szCs w:val="21"/>
          <w:highlight w:val="none"/>
        </w:rPr>
      </w:pPr>
    </w:p>
    <w:p w14:paraId="585A2389">
      <w:pPr>
        <w:keepNext w:val="0"/>
        <w:keepLines w:val="0"/>
        <w:pageBreakBefore w:val="0"/>
        <w:overflowPunct/>
        <w:topLinePunct w:val="0"/>
        <w:bidi w:val="0"/>
        <w:snapToGrid w:val="0"/>
        <w:spacing w:line="360" w:lineRule="auto"/>
        <w:ind w:left="0" w:right="0" w:firstLine="422" w:firstLineChars="200"/>
        <w:jc w:val="left"/>
        <w:outlineLvl w:val="9"/>
        <w:rPr>
          <w:rFonts w:hint="eastAsia" w:ascii="宋体" w:hAnsi="宋体" w:eastAsia="宋体" w:cs="宋体"/>
          <w:b/>
          <w:color w:val="auto"/>
          <w:kern w:val="0"/>
          <w:sz w:val="21"/>
          <w:szCs w:val="21"/>
          <w:highlight w:val="none"/>
        </w:rPr>
      </w:pPr>
    </w:p>
    <w:p w14:paraId="031B36A1">
      <w:pPr>
        <w:keepNext w:val="0"/>
        <w:keepLines w:val="0"/>
        <w:pageBreakBefore w:val="0"/>
        <w:overflowPunct/>
        <w:topLinePunct w:val="0"/>
        <w:bidi w:val="0"/>
        <w:snapToGrid w:val="0"/>
        <w:spacing w:line="360" w:lineRule="auto"/>
        <w:ind w:left="0" w:right="0" w:firstLine="723" w:firstLineChars="200"/>
        <w:jc w:val="center"/>
        <w:outlineLvl w:val="9"/>
        <w:rPr>
          <w:rFonts w:hint="default" w:ascii="宋体" w:hAnsi="宋体" w:eastAsia="宋体" w:cs="宋体"/>
          <w:b/>
          <w:color w:val="auto"/>
          <w:kern w:val="0"/>
          <w:sz w:val="36"/>
          <w:szCs w:val="36"/>
          <w:highlight w:val="none"/>
          <w:lang w:val="en-US" w:eastAsia="zh-CN"/>
        </w:rPr>
      </w:pPr>
      <w:r>
        <w:rPr>
          <w:rFonts w:hint="eastAsia" w:ascii="宋体" w:hAnsi="宋体" w:cs="宋体"/>
          <w:b/>
          <w:color w:val="auto"/>
          <w:kern w:val="0"/>
          <w:sz w:val="36"/>
          <w:szCs w:val="36"/>
          <w:highlight w:val="none"/>
          <w:lang w:val="en-US" w:eastAsia="zh-CN"/>
        </w:rPr>
        <w:t>第四章  采购需求</w:t>
      </w:r>
    </w:p>
    <w:p w14:paraId="78159F83">
      <w:pPr>
        <w:keepNext w:val="0"/>
        <w:keepLines w:val="0"/>
        <w:pageBreakBefore w:val="0"/>
        <w:overflowPunct/>
        <w:topLinePunct w:val="0"/>
        <w:bidi w:val="0"/>
        <w:snapToGrid w:val="0"/>
        <w:spacing w:line="360" w:lineRule="auto"/>
        <w:ind w:left="0" w:right="0" w:firstLine="422" w:firstLineChars="200"/>
        <w:jc w:val="left"/>
        <w:outlineLvl w:val="9"/>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一、项目概况</w:t>
      </w:r>
    </w:p>
    <w:p w14:paraId="565A9D5F">
      <w:pPr>
        <w:keepNext w:val="0"/>
        <w:keepLines w:val="0"/>
        <w:pageBreakBefore w:val="0"/>
        <w:wordWrap w:val="0"/>
        <w:overflowPunct/>
        <w:topLinePunct w:val="0"/>
        <w:bidi w:val="0"/>
        <w:snapToGrid w:val="0"/>
        <w:spacing w:line="360" w:lineRule="auto"/>
        <w:ind w:left="0" w:right="0" w:firstLine="422" w:firstLineChars="200"/>
        <w:jc w:val="left"/>
        <w:outlineLvl w:val="9"/>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1、项目名称：</w:t>
      </w:r>
      <w:r>
        <w:rPr>
          <w:rFonts w:hint="eastAsia" w:ascii="宋体" w:hAnsi="宋体" w:eastAsia="宋体" w:cs="宋体"/>
          <w:color w:val="auto"/>
          <w:kern w:val="0"/>
          <w:sz w:val="21"/>
          <w:szCs w:val="21"/>
          <w:highlight w:val="none"/>
          <w:lang w:eastAsia="zh-CN"/>
        </w:rPr>
        <w:t>芙蓉生态新城六号安置小区东地块（一期）外墙防水工程</w:t>
      </w:r>
      <w:r>
        <w:rPr>
          <w:rFonts w:hint="eastAsia" w:ascii="宋体" w:hAnsi="宋体" w:eastAsia="宋体" w:cs="宋体"/>
          <w:color w:val="auto"/>
          <w:kern w:val="0"/>
          <w:sz w:val="21"/>
          <w:szCs w:val="21"/>
          <w:highlight w:val="none"/>
        </w:rPr>
        <w:t>。</w:t>
      </w:r>
    </w:p>
    <w:p w14:paraId="71B7EDF1">
      <w:pPr>
        <w:keepNext w:val="0"/>
        <w:keepLines w:val="0"/>
        <w:pageBreakBefore w:val="0"/>
        <w:wordWrap w:val="0"/>
        <w:overflowPunct/>
        <w:topLinePunct w:val="0"/>
        <w:bidi w:val="0"/>
        <w:snapToGrid w:val="0"/>
        <w:spacing w:line="360" w:lineRule="auto"/>
        <w:ind w:left="0" w:right="0" w:firstLine="422" w:firstLineChars="200"/>
        <w:jc w:val="left"/>
        <w:outlineLvl w:val="9"/>
        <w:rPr>
          <w:rFonts w:hint="eastAsia" w:ascii="宋体" w:hAnsi="宋体" w:eastAsia="宋体" w:cs="宋体"/>
          <w:b/>
          <w:color w:val="auto"/>
          <w:kern w:val="0"/>
          <w:sz w:val="21"/>
          <w:szCs w:val="21"/>
          <w:highlight w:val="none"/>
          <w:u w:val="none"/>
        </w:rPr>
      </w:pPr>
      <w:r>
        <w:rPr>
          <w:rFonts w:hint="eastAsia" w:ascii="宋体" w:hAnsi="宋体" w:eastAsia="宋体" w:cs="宋体"/>
          <w:b/>
          <w:color w:val="auto"/>
          <w:kern w:val="0"/>
          <w:sz w:val="21"/>
          <w:szCs w:val="21"/>
          <w:highlight w:val="none"/>
        </w:rPr>
        <w:t>2、采购预算：</w:t>
      </w:r>
      <w:r>
        <w:rPr>
          <w:rFonts w:hint="eastAsia" w:ascii="宋体" w:hAnsi="宋体"/>
          <w:b/>
          <w:bCs/>
          <w:color w:val="auto"/>
          <w:szCs w:val="21"/>
          <w:highlight w:val="none"/>
          <w:u w:val="none"/>
          <w:lang w:val="en-US" w:eastAsia="zh-CN"/>
        </w:rPr>
        <w:t>3958</w:t>
      </w:r>
      <w:r>
        <w:rPr>
          <w:rFonts w:hint="default" w:ascii="宋体" w:hAnsi="宋体"/>
          <w:b/>
          <w:bCs/>
          <w:color w:val="auto"/>
          <w:szCs w:val="21"/>
          <w:highlight w:val="none"/>
          <w:u w:val="none"/>
          <w:lang w:eastAsia="zh-CN"/>
        </w:rPr>
        <w:t>097.84</w:t>
      </w:r>
      <w:r>
        <w:rPr>
          <w:rFonts w:hint="eastAsia" w:ascii="宋体" w:hAnsi="宋体" w:eastAsia="宋体" w:cs="宋体"/>
          <w:bCs/>
          <w:color w:val="auto"/>
          <w:kern w:val="0"/>
          <w:sz w:val="21"/>
          <w:szCs w:val="21"/>
          <w:highlight w:val="none"/>
          <w:u w:val="none"/>
        </w:rPr>
        <w:t>元。采购项目最高限价(设定最高磋商限价)</w:t>
      </w:r>
      <w:r>
        <w:rPr>
          <w:rFonts w:hint="eastAsia" w:ascii="宋体" w:hAnsi="宋体" w:eastAsia="宋体" w:cs="宋体"/>
          <w:bCs/>
          <w:color w:val="auto"/>
          <w:kern w:val="0"/>
          <w:sz w:val="21"/>
          <w:szCs w:val="21"/>
          <w:highlight w:val="none"/>
          <w:u w:val="none"/>
          <w:lang w:eastAsia="zh-CN"/>
        </w:rPr>
        <w:t>：</w:t>
      </w:r>
      <w:r>
        <w:rPr>
          <w:rFonts w:hint="eastAsia" w:ascii="宋体" w:hAnsi="宋体"/>
          <w:b/>
          <w:bCs/>
          <w:color w:val="auto"/>
          <w:szCs w:val="21"/>
          <w:highlight w:val="none"/>
          <w:u w:val="none"/>
          <w:lang w:val="en-US" w:eastAsia="zh-CN"/>
        </w:rPr>
        <w:t>3958</w:t>
      </w:r>
      <w:r>
        <w:rPr>
          <w:rFonts w:hint="default" w:ascii="宋体" w:hAnsi="宋体"/>
          <w:b/>
          <w:bCs/>
          <w:color w:val="auto"/>
          <w:szCs w:val="21"/>
          <w:highlight w:val="none"/>
          <w:u w:val="none"/>
          <w:lang w:eastAsia="zh-CN"/>
        </w:rPr>
        <w:t>097.84</w:t>
      </w:r>
      <w:r>
        <w:rPr>
          <w:rFonts w:hint="eastAsia" w:ascii="宋体" w:hAnsi="宋体" w:eastAsia="宋体" w:cs="宋体"/>
          <w:bCs/>
          <w:color w:val="auto"/>
          <w:kern w:val="0"/>
          <w:sz w:val="21"/>
          <w:szCs w:val="21"/>
          <w:highlight w:val="none"/>
          <w:u w:val="none"/>
        </w:rPr>
        <w:t>元。</w:t>
      </w:r>
    </w:p>
    <w:p w14:paraId="75668367">
      <w:pPr>
        <w:keepNext w:val="0"/>
        <w:keepLines w:val="0"/>
        <w:pageBreakBefore w:val="0"/>
        <w:wordWrap w:val="0"/>
        <w:overflowPunct/>
        <w:topLinePunct w:val="0"/>
        <w:bidi w:val="0"/>
        <w:snapToGrid w:val="0"/>
        <w:spacing w:line="360" w:lineRule="auto"/>
        <w:ind w:left="0" w:right="0" w:firstLine="422" w:firstLineChars="200"/>
        <w:jc w:val="left"/>
        <w:outlineLvl w:val="9"/>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3、工程范围：</w:t>
      </w:r>
      <w:bookmarkStart w:id="156" w:name="OLE_LINK6"/>
    </w:p>
    <w:p w14:paraId="09B898C0">
      <w:pPr>
        <w:keepNext w:val="0"/>
        <w:keepLines w:val="0"/>
        <w:pageBreakBefore w:val="0"/>
        <w:widowControl w:val="0"/>
        <w:numPr>
          <w:ilvl w:val="0"/>
          <w:numId w:val="0"/>
        </w:numPr>
        <w:wordWrap w:val="0"/>
        <w:overflowPunct/>
        <w:topLinePunct w:val="0"/>
        <w:autoSpaceDE w:val="0"/>
        <w:autoSpaceDN w:val="0"/>
        <w:bidi w:val="0"/>
        <w:adjustRightInd w:val="0"/>
        <w:spacing w:line="360" w:lineRule="auto"/>
        <w:ind w:left="0" w:leftChars="0" w:right="0" w:firstLine="420" w:firstLineChars="200"/>
        <w:jc w:val="left"/>
        <w:outlineLvl w:val="9"/>
        <w:rPr>
          <w:rFonts w:hint="eastAsia" w:ascii="宋体" w:hAnsi="宋体" w:eastAsia="宋体" w:cs="宋体"/>
          <w:color w:val="auto"/>
          <w:kern w:val="0"/>
          <w:sz w:val="21"/>
          <w:szCs w:val="21"/>
          <w:highlight w:val="none"/>
          <w:lang w:eastAsia="zh-CN"/>
        </w:rPr>
      </w:pPr>
      <w:bookmarkStart w:id="157" w:name="OLE_LINK22"/>
      <w:r>
        <w:rPr>
          <w:rFonts w:hint="eastAsia" w:ascii="宋体" w:hAnsi="宋体" w:eastAsia="宋体" w:cs="宋体"/>
          <w:color w:val="auto"/>
          <w:kern w:val="0"/>
          <w:sz w:val="21"/>
          <w:szCs w:val="21"/>
          <w:highlight w:val="none"/>
          <w:lang w:eastAsia="zh-CN"/>
        </w:rPr>
        <w:t>本项目净用地面积约62102.4平方米，总建筑面积约280536.69平方米，其中地上建筑面积约218124.1平方米，地下建筑面积约64175.71平方米。地上建筑共16栋，8栋纯住宅、3栋沿街底商+住宅、2栋独栋商业、1栋幼儿园、1栋托儿所、1栋配电房、1栋垃圾站。</w:t>
      </w:r>
    </w:p>
    <w:p w14:paraId="0F59C7BF">
      <w:pPr>
        <w:keepNext w:val="0"/>
        <w:keepLines w:val="0"/>
        <w:pageBreakBefore w:val="0"/>
        <w:widowControl w:val="0"/>
        <w:numPr>
          <w:ilvl w:val="0"/>
          <w:numId w:val="0"/>
        </w:numPr>
        <w:wordWrap w:val="0"/>
        <w:overflowPunct/>
        <w:topLinePunct w:val="0"/>
        <w:autoSpaceDE w:val="0"/>
        <w:autoSpaceDN w:val="0"/>
        <w:bidi w:val="0"/>
        <w:adjustRightInd w:val="0"/>
        <w:spacing w:line="360" w:lineRule="auto"/>
        <w:ind w:left="0" w:leftChars="0" w:right="0" w:firstLine="422" w:firstLineChars="200"/>
        <w:jc w:val="left"/>
        <w:outlineLvl w:val="9"/>
        <w:rPr>
          <w:rFonts w:hint="eastAsia" w:ascii="宋体" w:hAnsi="宋体" w:eastAsia="宋体" w:cs="宋体"/>
          <w:b/>
          <w:color w:val="auto"/>
          <w:sz w:val="21"/>
          <w:szCs w:val="21"/>
          <w:highlight w:val="none"/>
          <w:lang w:val="en-US" w:eastAsia="zh-CN" w:bidi="ar-SA"/>
        </w:rPr>
      </w:pPr>
      <w:r>
        <w:rPr>
          <w:rFonts w:hint="eastAsia" w:ascii="宋体" w:hAnsi="宋体" w:eastAsia="宋体" w:cs="宋体"/>
          <w:b/>
          <w:color w:val="auto"/>
          <w:sz w:val="21"/>
          <w:szCs w:val="21"/>
          <w:highlight w:val="none"/>
          <w:lang w:val="en-US" w:eastAsia="zh-CN" w:bidi="ar-SA"/>
        </w:rPr>
        <w:t>二、项目实施要求</w:t>
      </w:r>
    </w:p>
    <w:bookmarkEnd w:id="152"/>
    <w:bookmarkEnd w:id="156"/>
    <w:p w14:paraId="4E899017">
      <w:pPr>
        <w:keepNext w:val="0"/>
        <w:keepLines w:val="0"/>
        <w:pageBreakBefore w:val="0"/>
        <w:widowControl/>
        <w:wordWrap/>
        <w:overflowPunct/>
        <w:topLinePunct w:val="0"/>
        <w:bidi w:val="0"/>
        <w:adjustRightInd w:val="0"/>
        <w:snapToGrid w:val="0"/>
        <w:spacing w:line="360" w:lineRule="auto"/>
        <w:ind w:left="0" w:right="0" w:firstLine="422" w:firstLineChars="200"/>
        <w:jc w:val="left"/>
        <w:outlineLvl w:val="9"/>
        <w:rPr>
          <w:rFonts w:hint="eastAsia" w:ascii="宋体" w:hAnsi="宋体" w:eastAsia="宋体" w:cs="宋体"/>
          <w:color w:val="auto"/>
          <w:kern w:val="0"/>
          <w:sz w:val="21"/>
          <w:szCs w:val="21"/>
          <w:highlight w:val="none"/>
          <w:lang w:val="en-US" w:eastAsia="zh-Hans"/>
        </w:rPr>
      </w:pPr>
      <w:bookmarkStart w:id="158" w:name="OLE_LINK18"/>
      <w:r>
        <w:rPr>
          <w:rFonts w:hint="eastAsia" w:ascii="宋体" w:hAnsi="宋体" w:eastAsia="宋体" w:cs="宋体"/>
          <w:b/>
          <w:color w:val="auto"/>
          <w:kern w:val="0"/>
          <w:sz w:val="21"/>
          <w:szCs w:val="21"/>
          <w:highlight w:val="none"/>
          <w:shd w:val="clear" w:fill="FFFFFF"/>
          <w:lang w:val="en-US" w:eastAsia="zh-Hans"/>
        </w:rPr>
        <w:t>1．建筑材料运输、保管及保险</w:t>
      </w:r>
    </w:p>
    <w:p w14:paraId="6611218C">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shd w:val="clear" w:fill="FFFFFF"/>
          <w:lang w:val="en-US" w:eastAsia="zh-Hans"/>
        </w:rPr>
        <w:t>1.1成交供应商负责建筑材料到施工地点的全部运输，包括装卸及现场搬运等。</w:t>
      </w:r>
    </w:p>
    <w:p w14:paraId="05731CBF">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shd w:val="clear" w:fill="FFFFFF"/>
          <w:lang w:val="en-US" w:eastAsia="zh-Hans"/>
        </w:rPr>
        <w:t>1.2成交供应商负责建筑材料在施工地点的保管，直至项目验收合格。</w:t>
      </w:r>
    </w:p>
    <w:p w14:paraId="3A9692F7">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shd w:val="clear" w:fill="FFFFFF"/>
          <w:lang w:val="en-US" w:eastAsia="zh-Hans"/>
        </w:rPr>
      </w:pPr>
      <w:r>
        <w:rPr>
          <w:rFonts w:hint="eastAsia" w:ascii="宋体" w:hAnsi="宋体" w:eastAsia="宋体" w:cs="宋体"/>
          <w:color w:val="auto"/>
          <w:kern w:val="0"/>
          <w:sz w:val="21"/>
          <w:szCs w:val="21"/>
          <w:highlight w:val="none"/>
          <w:shd w:val="clear" w:fill="FFFFFF"/>
          <w:lang w:val="en-US" w:eastAsia="zh-Hans"/>
        </w:rPr>
        <w:t>1.3项目实施过程中所使用的材料，必须满足国家标准，且成交供应商必须提供相应的</w:t>
      </w:r>
      <w:r>
        <w:rPr>
          <w:rFonts w:hint="eastAsia" w:ascii="宋体" w:hAnsi="宋体" w:eastAsia="宋体" w:cs="宋体"/>
          <w:color w:val="auto"/>
          <w:kern w:val="0"/>
          <w:sz w:val="21"/>
          <w:szCs w:val="21"/>
          <w:highlight w:val="none"/>
          <w:shd w:val="clear" w:fill="FFFFFF"/>
          <w:lang w:val="en-US" w:eastAsia="zh-CN"/>
        </w:rPr>
        <w:t>材料</w:t>
      </w:r>
      <w:r>
        <w:rPr>
          <w:rFonts w:hint="eastAsia" w:ascii="宋体" w:hAnsi="宋体" w:eastAsia="宋体" w:cs="宋体"/>
          <w:color w:val="auto"/>
          <w:kern w:val="0"/>
          <w:sz w:val="21"/>
          <w:szCs w:val="21"/>
          <w:highlight w:val="none"/>
          <w:shd w:val="clear" w:fill="FFFFFF"/>
          <w:lang w:val="en-US" w:eastAsia="zh-Hans"/>
        </w:rPr>
        <w:t>送至采购人，并经采购人认可后才能投入使用；设备采购，需提供厂家相关资料，经采购人许可后才能采购。</w:t>
      </w:r>
    </w:p>
    <w:p w14:paraId="1B5DDD56">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shd w:val="clear" w:fill="FFFFFF"/>
          <w:lang w:val="en-US" w:eastAsia="zh-Hans"/>
        </w:rPr>
        <w:t>1.4成交供应商负责其派出的施工人员的人身安全和意外保险,要求施工人员遵守发包人相关管理制度，安全施工、文明施工，因管理或施工不当等造成的安全问题由成交供应商全权承担。</w:t>
      </w:r>
    </w:p>
    <w:p w14:paraId="2CE37985">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shd w:val="clear" w:fill="FFFFFF"/>
          <w:lang w:val="en-US" w:eastAsia="zh-Hans"/>
        </w:rPr>
        <w:t>1.5成交供应商向采购人承诺按照合同约定按期、保质完成施工任务及缺陷责任期内的缺陷修复。</w:t>
      </w:r>
    </w:p>
    <w:p w14:paraId="450B0721">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shd w:val="clear" w:fill="FFFFFF"/>
          <w:lang w:val="en-US" w:eastAsia="zh-Hans"/>
        </w:rPr>
        <w:t>1.6保护原有可用设备设施，施工完毕恢复原设施。</w:t>
      </w:r>
    </w:p>
    <w:p w14:paraId="28092FAA">
      <w:pPr>
        <w:keepNext w:val="0"/>
        <w:keepLines w:val="0"/>
        <w:pageBreakBefore w:val="0"/>
        <w:widowControl/>
        <w:wordWrap/>
        <w:overflowPunct/>
        <w:topLinePunct w:val="0"/>
        <w:bidi w:val="0"/>
        <w:adjustRightInd w:val="0"/>
        <w:snapToGrid w:val="0"/>
        <w:spacing w:line="360" w:lineRule="auto"/>
        <w:ind w:left="0" w:right="0" w:firstLine="422"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eastAsia="宋体" w:cs="宋体"/>
          <w:b/>
          <w:color w:val="auto"/>
          <w:kern w:val="0"/>
          <w:sz w:val="21"/>
          <w:szCs w:val="21"/>
          <w:highlight w:val="none"/>
          <w:shd w:val="clear" w:fill="FFFFFF"/>
          <w:lang w:val="en-US" w:eastAsia="zh-Hans"/>
        </w:rPr>
        <w:t>2.施工要求</w:t>
      </w:r>
    </w:p>
    <w:p w14:paraId="72CA5D83">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lang w:val="en-US" w:eastAsia="zh-Hans"/>
        </w:rPr>
        <w:t>2.1成交供应商须加强施工的组织管理，所有施工人员须遵守文明安全施工的有关规章制度。</w:t>
      </w:r>
    </w:p>
    <w:p w14:paraId="55EED8B0">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lang w:val="en-US" w:eastAsia="zh-Hans"/>
        </w:rPr>
        <w:t>2.2成交供应商做好职工的入场教育培训，搞好全员的各项交底工作。</w:t>
      </w:r>
    </w:p>
    <w:p w14:paraId="6ADA3532">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lang w:val="en-US" w:eastAsia="zh-Hans"/>
        </w:rPr>
        <w:t>2.3成交供应商须加强职工的职业健康安全教育，树立“预防为主，安全第一”的意识，强化职工的质量安全意识。</w:t>
      </w:r>
    </w:p>
    <w:p w14:paraId="068970F0">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lang w:val="en-US" w:eastAsia="zh-Hans"/>
        </w:rPr>
        <w:t>2.4成交供应商须制定并落实各级人员的岗位责任制。</w:t>
      </w:r>
    </w:p>
    <w:p w14:paraId="444337F9">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lang w:val="en-US" w:eastAsia="zh-Hans"/>
        </w:rPr>
        <w:t>2.5成交供应商须建立确保计划工期的保证措施。</w:t>
      </w:r>
    </w:p>
    <w:p w14:paraId="7F8BD2CD">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lang w:val="en-US" w:eastAsia="zh-Hans"/>
        </w:rPr>
        <w:t>2.6技术措施：制定详细的工期网络计划，科学地安排施工进度，实现质量、效益、工期、安全各项工作指标。细化施工方案合理地投入劳力、材料和机具设备提高工效。引入先进的施工技术和科学的管理方法，把总工期控制在合同工期之内。</w:t>
      </w:r>
    </w:p>
    <w:p w14:paraId="3E750EF4">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lang w:val="en-US" w:eastAsia="zh-Hans"/>
        </w:rPr>
        <w:t>2.7组织措施：施工现场建立项目经理责任制，对工程行使计划、组织、指挥、协调、实施、监督的职能，选择各专业施工队伍进场，根据各工序的紧前紧后关系，科学合理地安排施工时间，保证计划按时完成。</w:t>
      </w:r>
    </w:p>
    <w:p w14:paraId="14BB934C">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lang w:val="en-US" w:eastAsia="zh-Hans"/>
        </w:rPr>
        <w:t>2.</w:t>
      </w:r>
      <w:r>
        <w:rPr>
          <w:rFonts w:hint="eastAsia" w:ascii="宋体" w:hAnsi="宋体" w:eastAsia="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lang w:val="en-US" w:eastAsia="zh-Hans"/>
        </w:rPr>
        <w:t>安全文明施工保证措施</w:t>
      </w:r>
    </w:p>
    <w:p w14:paraId="5654C9FF">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lang w:val="en-US" w:eastAsia="zh-Hans"/>
        </w:rPr>
        <w:t>①制定安全目标：贯彻执行“预防为主，安全第一”的工作方针，确保施工现场安全合格率100%，加强现场安全管理、安全防护，制定相关的安全保证体系和措施，确保无任何机械、消防及人员伤害事故。</w:t>
      </w:r>
    </w:p>
    <w:p w14:paraId="5A19EB0F">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lang w:val="en-US" w:eastAsia="zh-Hans"/>
        </w:rPr>
        <w:t>②加强职工入场安全文明教育，制定安全文明操作规程及现场“三防”预案。</w:t>
      </w:r>
    </w:p>
    <w:p w14:paraId="592D31C6">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lang w:val="en-US" w:eastAsia="zh-Hans"/>
        </w:rPr>
        <w:t>③严格遵守甲方的各项规章制度。</w:t>
      </w:r>
    </w:p>
    <w:p w14:paraId="60E33DD8">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lang w:val="en-US" w:eastAsia="zh-Hans"/>
        </w:rPr>
        <w:t>④施工时遵守安全操作规程，戴好安全帽，防止抛物、坠物。</w:t>
      </w:r>
    </w:p>
    <w:p w14:paraId="4C12EDC3">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lang w:val="en-US" w:eastAsia="zh-Hans"/>
        </w:rPr>
        <w:t>⑤施工现场应配备有安全标志牌或警示牌。</w:t>
      </w:r>
    </w:p>
    <w:p w14:paraId="11CDA78E">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eastAsia="宋体" w:cs="宋体"/>
          <w:color w:val="auto"/>
          <w:kern w:val="0"/>
          <w:sz w:val="21"/>
          <w:szCs w:val="21"/>
          <w:highlight w:val="none"/>
          <w:lang w:val="en-US" w:eastAsia="zh-Hans"/>
        </w:rPr>
        <w:t>⑥对施工过程中所生成的建筑垃圾及时清理、清运。</w:t>
      </w:r>
    </w:p>
    <w:p w14:paraId="2B26E3B2">
      <w:pPr>
        <w:keepNext w:val="0"/>
        <w:keepLines w:val="0"/>
        <w:pageBreakBefore w:val="0"/>
        <w:widowControl/>
        <w:wordWrap/>
        <w:overflowPunct/>
        <w:topLinePunct w:val="0"/>
        <w:bidi w:val="0"/>
        <w:adjustRightInd w:val="0"/>
        <w:snapToGrid w:val="0"/>
        <w:spacing w:line="360" w:lineRule="auto"/>
        <w:ind w:left="0" w:right="0" w:firstLine="422"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cs="宋体"/>
          <w:b/>
          <w:color w:val="auto"/>
          <w:kern w:val="0"/>
          <w:sz w:val="21"/>
          <w:szCs w:val="21"/>
          <w:highlight w:val="none"/>
          <w:shd w:val="clear" w:fill="FFFFFF"/>
          <w:lang w:val="en-US" w:eastAsia="zh-CN"/>
        </w:rPr>
        <w:t>3</w:t>
      </w:r>
      <w:r>
        <w:rPr>
          <w:rFonts w:hint="eastAsia" w:ascii="宋体" w:hAnsi="宋体" w:eastAsia="宋体" w:cs="宋体"/>
          <w:b/>
          <w:color w:val="auto"/>
          <w:kern w:val="0"/>
          <w:sz w:val="21"/>
          <w:szCs w:val="21"/>
          <w:highlight w:val="none"/>
          <w:shd w:val="clear" w:fill="FFFFFF"/>
          <w:lang w:val="en-US" w:eastAsia="zh-Hans"/>
        </w:rPr>
        <w:t>.验收要求</w:t>
      </w:r>
    </w:p>
    <w:p w14:paraId="2E509CE8">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en-US" w:eastAsia="zh-Hans"/>
        </w:rPr>
        <w:t>由采购人组织验收活动，本项目采用简易验收。（</w:t>
      </w:r>
      <w:r>
        <w:rPr>
          <w:rFonts w:hint="eastAsia" w:ascii="宋体" w:hAnsi="宋体" w:cs="宋体"/>
          <w:color w:val="auto"/>
          <w:kern w:val="0"/>
          <w:sz w:val="21"/>
          <w:szCs w:val="21"/>
          <w:highlight w:val="none"/>
          <w:lang w:val="en-US" w:eastAsia="zh-CN"/>
        </w:rPr>
        <w:t>参照</w:t>
      </w:r>
      <w:r>
        <w:rPr>
          <w:rFonts w:hint="eastAsia" w:ascii="宋体" w:hAnsi="宋体" w:eastAsia="宋体" w:cs="宋体"/>
          <w:color w:val="auto"/>
          <w:kern w:val="0"/>
          <w:sz w:val="21"/>
          <w:szCs w:val="21"/>
          <w:highlight w:val="none"/>
          <w:lang w:val="en-US" w:eastAsia="zh-Hans"/>
        </w:rPr>
        <w:t>长沙市财政局《关于加强长沙市政府采购项目履约验收工作的通知》(长财采购([2024]5号)的规定进行履约验收。项目验收按国家规定执行，验收报告作为申请付款的凭证之一。）。</w:t>
      </w:r>
      <w:r>
        <w:rPr>
          <w:rFonts w:hint="eastAsia" w:ascii="宋体" w:hAnsi="宋体" w:eastAsia="宋体" w:cs="宋体"/>
          <w:color w:val="auto"/>
          <w:kern w:val="0"/>
          <w:sz w:val="21"/>
          <w:szCs w:val="21"/>
          <w:highlight w:val="none"/>
          <w:lang w:val="en-US" w:eastAsia="zh-CN"/>
        </w:rPr>
        <w:t xml:space="preserve"> </w:t>
      </w:r>
    </w:p>
    <w:p w14:paraId="56898BC1">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eastAsia="zh-CN"/>
        </w:rPr>
        <w:t>.2验收不合格的，由中标人免费无条件修正达到要求再行验收，由此给采购人造成的损失，产生的费用等由中标人承担。连续两次验收不合格的，采购人可终止合同，另行按规定选择其他供应商采购，由此带来的一切损失由中标人承担。</w:t>
      </w:r>
    </w:p>
    <w:p w14:paraId="7C495814">
      <w:pPr>
        <w:keepNext w:val="0"/>
        <w:keepLines w:val="0"/>
        <w:pageBreakBefore w:val="0"/>
        <w:widowControl/>
        <w:wordWrap/>
        <w:overflowPunct/>
        <w:topLinePunct w:val="0"/>
        <w:bidi w:val="0"/>
        <w:adjustRightInd w:val="0"/>
        <w:snapToGrid w:val="0"/>
        <w:spacing w:line="360" w:lineRule="auto"/>
        <w:ind w:left="0" w:right="0" w:firstLine="422"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cs="宋体"/>
          <w:b/>
          <w:color w:val="auto"/>
          <w:kern w:val="0"/>
          <w:sz w:val="21"/>
          <w:szCs w:val="21"/>
          <w:highlight w:val="none"/>
          <w:shd w:val="clear" w:fill="FFFFFF"/>
          <w:lang w:val="en-US" w:eastAsia="zh-CN"/>
        </w:rPr>
        <w:t>4</w:t>
      </w:r>
      <w:r>
        <w:rPr>
          <w:rFonts w:hint="eastAsia" w:ascii="宋体" w:hAnsi="宋体" w:eastAsia="宋体" w:cs="宋体"/>
          <w:b/>
          <w:color w:val="auto"/>
          <w:kern w:val="0"/>
          <w:sz w:val="21"/>
          <w:szCs w:val="21"/>
          <w:highlight w:val="none"/>
          <w:shd w:val="clear" w:fill="FFFFFF"/>
          <w:lang w:val="en-US" w:eastAsia="zh-Hans"/>
        </w:rPr>
        <w:t>.质量保证</w:t>
      </w:r>
    </w:p>
    <w:p w14:paraId="3CACC71C">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cs="宋体"/>
          <w:color w:val="auto"/>
          <w:kern w:val="0"/>
          <w:sz w:val="21"/>
          <w:szCs w:val="21"/>
          <w:highlight w:val="none"/>
          <w:shd w:val="clear" w:fill="FFFFFF"/>
          <w:lang w:val="en-US" w:eastAsia="zh-CN"/>
        </w:rPr>
        <w:t>4</w:t>
      </w:r>
      <w:r>
        <w:rPr>
          <w:rFonts w:hint="eastAsia" w:ascii="宋体" w:hAnsi="宋体" w:eastAsia="宋体" w:cs="宋体"/>
          <w:color w:val="auto"/>
          <w:kern w:val="0"/>
          <w:sz w:val="21"/>
          <w:szCs w:val="21"/>
          <w:highlight w:val="none"/>
          <w:shd w:val="clear" w:fill="FFFFFF"/>
          <w:lang w:val="en-US" w:eastAsia="zh-Hans"/>
        </w:rPr>
        <w:t>.1本工程质量符合国家现行施工质量验收规范体系的要求，工程质量确保达到合格等级标准。</w:t>
      </w:r>
    </w:p>
    <w:p w14:paraId="5428B412">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cs="宋体"/>
          <w:color w:val="auto"/>
          <w:kern w:val="0"/>
          <w:sz w:val="21"/>
          <w:szCs w:val="21"/>
          <w:highlight w:val="none"/>
          <w:shd w:val="clear" w:fill="FFFFFF"/>
          <w:lang w:val="en-US" w:eastAsia="zh-CN"/>
        </w:rPr>
        <w:t>4</w:t>
      </w:r>
      <w:r>
        <w:rPr>
          <w:rFonts w:hint="eastAsia" w:ascii="宋体" w:hAnsi="宋体" w:eastAsia="宋体" w:cs="宋体"/>
          <w:color w:val="auto"/>
          <w:kern w:val="0"/>
          <w:sz w:val="21"/>
          <w:szCs w:val="21"/>
          <w:highlight w:val="none"/>
          <w:shd w:val="clear" w:fill="FFFFFF"/>
          <w:lang w:val="en-US" w:eastAsia="zh-Hans"/>
        </w:rPr>
        <w:t>.2施工期间，应接受采购人的监督管理，遵守有关规定。</w:t>
      </w:r>
    </w:p>
    <w:p w14:paraId="237B8139">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default" w:eastAsia="宋体"/>
          <w:lang w:val="en-US" w:eastAsia="zh-CN"/>
        </w:rPr>
      </w:pPr>
      <w:r>
        <w:rPr>
          <w:rFonts w:hint="eastAsia" w:ascii="宋体" w:hAnsi="宋体" w:cs="宋体"/>
          <w:color w:val="auto"/>
          <w:kern w:val="0"/>
          <w:sz w:val="21"/>
          <w:szCs w:val="21"/>
          <w:highlight w:val="none"/>
          <w:shd w:val="clear" w:fill="FFFFFF"/>
          <w:lang w:val="en-US" w:eastAsia="zh-CN"/>
        </w:rPr>
        <w:t>4</w:t>
      </w:r>
      <w:r>
        <w:rPr>
          <w:rFonts w:hint="eastAsia" w:ascii="宋体" w:hAnsi="宋体" w:eastAsia="宋体" w:cs="宋体"/>
          <w:color w:val="auto"/>
          <w:kern w:val="0"/>
          <w:sz w:val="21"/>
          <w:szCs w:val="21"/>
          <w:highlight w:val="none"/>
          <w:shd w:val="clear" w:fill="FFFFFF"/>
          <w:lang w:val="en-US" w:eastAsia="zh-Hans"/>
        </w:rPr>
        <w:t>.3质保期：按国家现行有关标准执行保修内容。</w:t>
      </w:r>
    </w:p>
    <w:bookmarkEnd w:id="153"/>
    <w:bookmarkEnd w:id="154"/>
    <w:bookmarkEnd w:id="155"/>
    <w:bookmarkEnd w:id="157"/>
    <w:bookmarkEnd w:id="158"/>
    <w:p w14:paraId="1D3C0715">
      <w:pPr>
        <w:keepNext w:val="0"/>
        <w:keepLines w:val="0"/>
        <w:pageBreakBefore w:val="0"/>
        <w:widowControl w:val="0"/>
        <w:kinsoku/>
        <w:wordWrap/>
        <w:overflowPunct/>
        <w:topLinePunct w:val="0"/>
        <w:bidi w:val="0"/>
        <w:adjustRightInd w:val="0"/>
        <w:snapToGrid w:val="0"/>
        <w:spacing w:line="396" w:lineRule="auto"/>
        <w:ind w:right="21" w:rightChars="10"/>
        <w:textAlignment w:val="auto"/>
        <w:rPr>
          <w:rFonts w:ascii="宋体" w:hAnsi="宋体" w:eastAsia="宋体" w:cs="宋体"/>
          <w:b/>
          <w:color w:val="auto"/>
          <w:szCs w:val="21"/>
          <w:highlight w:val="none"/>
        </w:rPr>
      </w:pPr>
      <w:bookmarkStart w:id="159" w:name="_Toc16723"/>
      <w:bookmarkStart w:id="160" w:name="_Toc16089"/>
      <w:r>
        <w:rPr>
          <w:rFonts w:hint="eastAsia" w:ascii="宋体" w:hAnsi="宋体" w:eastAsia="宋体" w:cs="宋体"/>
          <w:b/>
          <w:color w:val="auto"/>
          <w:szCs w:val="21"/>
          <w:highlight w:val="none"/>
          <w:lang w:val="en-US" w:eastAsia="zh-CN"/>
        </w:rPr>
        <w:t>三</w:t>
      </w:r>
      <w:r>
        <w:rPr>
          <w:rFonts w:hint="eastAsia" w:ascii="宋体" w:hAnsi="宋体" w:eastAsia="宋体" w:cs="宋体"/>
          <w:b/>
          <w:color w:val="auto"/>
          <w:szCs w:val="21"/>
          <w:highlight w:val="none"/>
        </w:rPr>
        <w:t>、其他要求及说明</w:t>
      </w:r>
      <w:bookmarkEnd w:id="159"/>
    </w:p>
    <w:bookmarkEnd w:id="160"/>
    <w:p w14:paraId="3A639789">
      <w:pPr>
        <w:keepNext w:val="0"/>
        <w:keepLines w:val="0"/>
        <w:pageBreakBefore w:val="0"/>
        <w:widowControl w:val="0"/>
        <w:kinsoku/>
        <w:wordWrap/>
        <w:overflowPunct/>
        <w:topLinePunct w:val="0"/>
        <w:bidi w:val="0"/>
        <w:spacing w:line="396" w:lineRule="auto"/>
        <w:ind w:right="23" w:rightChars="11" w:firstLine="422" w:firstLineChars="200"/>
        <w:textAlignment w:val="auto"/>
        <w:rPr>
          <w:rFonts w:ascii="宋体" w:hAnsi="宋体" w:eastAsia="宋体" w:cs="宋体"/>
          <w:color w:val="auto"/>
          <w:szCs w:val="21"/>
          <w:highlight w:val="none"/>
        </w:rPr>
      </w:pPr>
      <w:r>
        <w:rPr>
          <w:rFonts w:hint="eastAsia" w:ascii="宋体" w:hAnsi="宋体" w:eastAsia="宋体" w:cs="宋体"/>
          <w:b/>
          <w:color w:val="auto"/>
          <w:szCs w:val="21"/>
          <w:highlight w:val="none"/>
        </w:rPr>
        <w:t>1、结算方法</w:t>
      </w:r>
    </w:p>
    <w:p w14:paraId="261C259E">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1）支付方式：长沙芙蓉新城置业有限公司</w:t>
      </w:r>
    </w:p>
    <w:p w14:paraId="4ECE1F39">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付款方式：合同签订后，支付合同金额30%的预付款，工程进度款支付金额不超过已完工程造价的80%，工程竣工验收合格后，支付至合同金额的80%。剩余工程款待办理完成结算审核手续后扣除乙方应承担的费用后予以支付。如未满质保期，则留3%作为质保金，在质保期满后扣除承包人在质保期应承担的费用后无息支付。</w:t>
      </w:r>
    </w:p>
    <w:p w14:paraId="1669EFA7">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3）本项目成交金额不能作为总价包干依据，本工程最终工程造价以芙蓉区相关部门或第三方造价咨询机构审计金额为准。</w:t>
      </w:r>
    </w:p>
    <w:p w14:paraId="3AB662F1">
      <w:pPr>
        <w:pStyle w:val="2"/>
        <w:rPr>
          <w:rFonts w:hint="default"/>
          <w:color w:val="auto"/>
          <w:highlight w:val="none"/>
          <w:lang w:val="en-US" w:eastAsia="zh-CN"/>
        </w:rPr>
      </w:pPr>
      <w:r>
        <w:rPr>
          <w:rFonts w:hint="eastAsia" w:ascii="宋体" w:hAnsi="宋体" w:eastAsia="宋体" w:cs="宋体"/>
          <w:color w:val="auto"/>
          <w:kern w:val="0"/>
          <w:sz w:val="21"/>
          <w:szCs w:val="21"/>
          <w:highlight w:val="none"/>
          <w:lang w:val="en-US" w:eastAsia="zh-CN"/>
        </w:rPr>
        <w:t xml:space="preserve">    4）成交人应向本项目总承包方支付合同金额0.5%的总包服务费用。</w:t>
      </w:r>
    </w:p>
    <w:p w14:paraId="0DBD38D1">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5）具体内容详见第三章专用合同条款部分。</w:t>
      </w:r>
    </w:p>
    <w:p w14:paraId="12667FF5">
      <w:pPr>
        <w:pStyle w:val="2"/>
        <w:ind w:firstLine="422" w:firstLineChars="200"/>
        <w:rPr>
          <w:rFonts w:hint="default"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w:t>
      </w:r>
      <w:r>
        <w:rPr>
          <w:rFonts w:hint="eastAsia" w:ascii="宋体" w:hAnsi="宋体" w:cs="宋体"/>
          <w:b/>
          <w:bCs/>
          <w:color w:val="auto"/>
          <w:kern w:val="2"/>
          <w:sz w:val="21"/>
          <w:szCs w:val="21"/>
          <w:highlight w:val="none"/>
          <w:lang w:val="en-US" w:eastAsia="zh-CN" w:bidi="ar-SA"/>
        </w:rPr>
        <w:t>施工</w:t>
      </w:r>
      <w:r>
        <w:rPr>
          <w:rFonts w:hint="eastAsia" w:ascii="宋体" w:hAnsi="宋体" w:eastAsia="宋体" w:cs="宋体"/>
          <w:b/>
          <w:bCs/>
          <w:color w:val="auto"/>
          <w:kern w:val="2"/>
          <w:sz w:val="21"/>
          <w:szCs w:val="21"/>
          <w:highlight w:val="none"/>
          <w:lang w:val="en-US" w:eastAsia="zh-CN" w:bidi="ar-SA"/>
        </w:rPr>
        <w:t>工期：</w:t>
      </w:r>
      <w:r>
        <w:rPr>
          <w:rFonts w:hint="eastAsia" w:ascii="宋体" w:hAnsi="宋体" w:cs="宋体"/>
          <w:b/>
          <w:bCs/>
          <w:color w:val="auto"/>
          <w:kern w:val="2"/>
          <w:sz w:val="21"/>
          <w:szCs w:val="21"/>
          <w:highlight w:val="none"/>
          <w:lang w:val="en-US" w:eastAsia="zh-CN" w:bidi="ar-SA"/>
        </w:rPr>
        <w:t>60日历天。</w:t>
      </w:r>
      <w:bookmarkStart w:id="161" w:name="_GoBack"/>
      <w:bookmarkEnd w:id="161"/>
    </w:p>
    <w:p w14:paraId="404592EC">
      <w:pPr>
        <w:keepNext w:val="0"/>
        <w:keepLines w:val="0"/>
        <w:pageBreakBefore w:val="0"/>
        <w:widowControl w:val="0"/>
        <w:kinsoku/>
        <w:wordWrap/>
        <w:overflowPunct/>
        <w:topLinePunct w:val="0"/>
        <w:bidi w:val="0"/>
        <w:spacing w:line="396" w:lineRule="auto"/>
        <w:ind w:right="23" w:rightChars="11" w:firstLine="422" w:firstLineChars="200"/>
        <w:textAlignment w:val="auto"/>
        <w:rPr>
          <w:rFonts w:ascii="宋体" w:hAnsi="宋体" w:eastAsia="宋体" w:cs="宋体"/>
          <w:bCs/>
          <w:color w:val="auto"/>
          <w:szCs w:val="21"/>
          <w:highlight w:val="none"/>
        </w:rPr>
      </w:pPr>
      <w:r>
        <w:rPr>
          <w:rFonts w:hint="eastAsia" w:ascii="宋体" w:hAnsi="宋体" w:cs="宋体"/>
          <w:b/>
          <w:bCs/>
          <w:color w:val="auto"/>
          <w:szCs w:val="21"/>
          <w:highlight w:val="none"/>
          <w:lang w:val="en-US" w:eastAsia="zh-CN"/>
        </w:rPr>
        <w:t>3</w:t>
      </w:r>
      <w:r>
        <w:rPr>
          <w:rFonts w:hint="eastAsia" w:ascii="宋体" w:hAnsi="宋体" w:eastAsia="宋体" w:cs="宋体"/>
          <w:b/>
          <w:bCs/>
          <w:color w:val="auto"/>
          <w:szCs w:val="21"/>
          <w:highlight w:val="none"/>
        </w:rPr>
        <w:t>、工程变更</w:t>
      </w:r>
    </w:p>
    <w:p w14:paraId="333155B8">
      <w:pPr>
        <w:keepNext w:val="0"/>
        <w:keepLines w:val="0"/>
        <w:pageBreakBefore w:val="0"/>
        <w:widowControl w:val="0"/>
        <w:kinsoku/>
        <w:wordWrap/>
        <w:overflowPunct/>
        <w:topLinePunct w:val="0"/>
        <w:bidi w:val="0"/>
        <w:spacing w:line="396" w:lineRule="auto"/>
        <w:ind w:right="23" w:rightChars="11" w:firstLine="420" w:firstLineChars="200"/>
        <w:textAlignment w:val="auto"/>
        <w:rPr>
          <w:rFonts w:ascii="宋体" w:hAnsi="宋体" w:eastAsia="宋体" w:cs="宋体"/>
          <w:bCs/>
          <w:color w:val="auto"/>
          <w:szCs w:val="21"/>
          <w:highlight w:val="none"/>
        </w:rPr>
      </w:pPr>
      <w:r>
        <w:rPr>
          <w:rFonts w:hint="eastAsia" w:ascii="宋体" w:hAnsi="宋体" w:eastAsia="宋体" w:cs="宋体"/>
          <w:bCs/>
          <w:color w:val="auto"/>
          <w:szCs w:val="21"/>
          <w:highlight w:val="none"/>
        </w:rPr>
        <w:t>1）原则上工程不允许变更，</w:t>
      </w:r>
      <w:r>
        <w:rPr>
          <w:rFonts w:hint="eastAsia" w:ascii="宋体" w:hAnsi="宋体" w:eastAsia="宋体" w:cs="宋体"/>
          <w:color w:val="auto"/>
          <w:szCs w:val="21"/>
          <w:highlight w:val="none"/>
        </w:rPr>
        <w:t>当发生工程变更、工程量增减时，</w:t>
      </w:r>
      <w:r>
        <w:rPr>
          <w:rFonts w:hint="eastAsia" w:ascii="宋体" w:hAnsi="宋体" w:eastAsia="宋体" w:cs="宋体"/>
          <w:bCs/>
          <w:color w:val="auto"/>
          <w:szCs w:val="21"/>
          <w:highlight w:val="none"/>
        </w:rPr>
        <w:t>由采购人签字确认后</w:t>
      </w:r>
      <w:r>
        <w:rPr>
          <w:rFonts w:hint="eastAsia" w:ascii="宋体" w:hAnsi="宋体" w:eastAsia="宋体" w:cs="宋体"/>
          <w:bCs/>
          <w:color w:val="auto"/>
          <w:szCs w:val="21"/>
          <w:highlight w:val="none"/>
          <w:lang w:eastAsia="zh-CN"/>
        </w:rPr>
        <w:t>进行结算</w:t>
      </w:r>
      <w:r>
        <w:rPr>
          <w:rFonts w:hint="eastAsia" w:ascii="宋体" w:hAnsi="宋体" w:eastAsia="宋体" w:cs="宋体"/>
          <w:bCs/>
          <w:color w:val="auto"/>
          <w:szCs w:val="21"/>
          <w:highlight w:val="none"/>
        </w:rPr>
        <w:t>审核。</w:t>
      </w:r>
    </w:p>
    <w:p w14:paraId="66EFB112">
      <w:pPr>
        <w:keepNext w:val="0"/>
        <w:keepLines w:val="0"/>
        <w:pageBreakBefore w:val="0"/>
        <w:widowControl w:val="0"/>
        <w:kinsoku/>
        <w:wordWrap/>
        <w:overflowPunct/>
        <w:topLinePunct w:val="0"/>
        <w:bidi w:val="0"/>
        <w:spacing w:line="396" w:lineRule="auto"/>
        <w:ind w:right="23" w:rightChars="11" w:firstLine="420" w:firstLineChars="200"/>
        <w:textAlignment w:val="auto"/>
        <w:rPr>
          <w:rFonts w:ascii="宋体" w:hAnsi="宋体" w:eastAsia="宋体" w:cs="宋体"/>
          <w:b/>
          <w:bCs/>
          <w:color w:val="auto"/>
          <w:szCs w:val="21"/>
          <w:highlight w:val="none"/>
        </w:rPr>
      </w:pPr>
      <w:r>
        <w:rPr>
          <w:rFonts w:hint="eastAsia" w:ascii="宋体" w:hAnsi="宋体" w:eastAsia="宋体" w:cs="宋体"/>
          <w:bCs/>
          <w:color w:val="auto"/>
          <w:szCs w:val="21"/>
          <w:highlight w:val="none"/>
        </w:rPr>
        <w:t>2）具体</w:t>
      </w:r>
      <w:r>
        <w:rPr>
          <w:rFonts w:hint="eastAsia" w:ascii="宋体" w:hAnsi="宋体" w:eastAsia="宋体" w:cs="宋体"/>
          <w:color w:val="auto"/>
          <w:szCs w:val="21"/>
          <w:highlight w:val="none"/>
        </w:rPr>
        <w:t>内容</w:t>
      </w:r>
      <w:r>
        <w:rPr>
          <w:rFonts w:hint="eastAsia" w:ascii="宋体" w:hAnsi="宋体" w:eastAsia="宋体" w:cs="宋体"/>
          <w:bCs/>
          <w:color w:val="auto"/>
          <w:szCs w:val="21"/>
          <w:highlight w:val="none"/>
        </w:rPr>
        <w:t>详见第三章</w:t>
      </w:r>
      <w:r>
        <w:rPr>
          <w:rFonts w:hint="eastAsia" w:ascii="宋体" w:hAnsi="宋体" w:eastAsia="宋体" w:cs="宋体"/>
          <w:color w:val="auto"/>
          <w:szCs w:val="21"/>
          <w:highlight w:val="none"/>
        </w:rPr>
        <w:t>专用合同条款部分。</w:t>
      </w:r>
    </w:p>
    <w:p w14:paraId="77147F29">
      <w:pPr>
        <w:keepNext w:val="0"/>
        <w:keepLines w:val="0"/>
        <w:pageBreakBefore w:val="0"/>
        <w:widowControl w:val="0"/>
        <w:kinsoku/>
        <w:wordWrap/>
        <w:overflowPunct/>
        <w:topLinePunct w:val="0"/>
        <w:bidi w:val="0"/>
        <w:spacing w:line="396" w:lineRule="auto"/>
        <w:ind w:right="23" w:rightChars="11" w:firstLine="422" w:firstLineChars="200"/>
        <w:textAlignment w:val="auto"/>
        <w:rPr>
          <w:rFonts w:ascii="宋体" w:hAnsi="宋体" w:eastAsia="宋体" w:cs="宋体"/>
          <w:b/>
          <w:bCs/>
          <w:color w:val="auto"/>
          <w:szCs w:val="21"/>
          <w:highlight w:val="none"/>
        </w:rPr>
      </w:pPr>
      <w:r>
        <w:rPr>
          <w:rFonts w:hint="eastAsia" w:ascii="宋体" w:hAnsi="宋体" w:cs="宋体"/>
          <w:b/>
          <w:bCs/>
          <w:color w:val="auto"/>
          <w:szCs w:val="21"/>
          <w:highlight w:val="none"/>
          <w:lang w:val="en-US" w:eastAsia="zh-CN"/>
        </w:rPr>
        <w:t>4</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工程竣工结算</w:t>
      </w:r>
    </w:p>
    <w:p w14:paraId="6C7D89EE">
      <w:pPr>
        <w:keepNext w:val="0"/>
        <w:keepLines w:val="0"/>
        <w:pageBreakBefore w:val="0"/>
        <w:widowControl w:val="0"/>
        <w:kinsoku/>
        <w:wordWrap/>
        <w:overflowPunct/>
        <w:topLinePunct w:val="0"/>
        <w:bidi w:val="0"/>
        <w:spacing w:line="396" w:lineRule="auto"/>
        <w:ind w:right="23" w:rightChars="11" w:firstLine="420" w:firstLineChars="200"/>
        <w:textAlignment w:val="auto"/>
        <w:rPr>
          <w:rFonts w:ascii="宋体" w:hAnsi="宋体" w:eastAsia="宋体" w:cs="宋体"/>
          <w:bCs/>
          <w:color w:val="auto"/>
          <w:szCs w:val="21"/>
          <w:highlight w:val="none"/>
        </w:rPr>
      </w:pPr>
      <w:r>
        <w:rPr>
          <w:rFonts w:hint="eastAsia" w:ascii="宋体" w:hAnsi="宋体" w:eastAsia="宋体" w:cs="宋体"/>
          <w:color w:val="auto"/>
          <w:szCs w:val="21"/>
          <w:highlight w:val="none"/>
        </w:rPr>
        <w:t>1）工程竣工后双方应及时办理工程结算，</w:t>
      </w:r>
      <w:r>
        <w:rPr>
          <w:rFonts w:hint="eastAsia" w:ascii="宋体" w:hAnsi="宋体" w:eastAsia="宋体" w:cs="宋体"/>
          <w:bCs/>
          <w:color w:val="auto"/>
          <w:szCs w:val="21"/>
          <w:highlight w:val="none"/>
        </w:rPr>
        <w:t>成交供应商应积极配合；工程竣工验收后，成交供应商应在规定时间内提交完整齐备的工程竣工资料和验收资料装整成册交采购人存档，并必须保证所有归档资料的真实性。</w:t>
      </w:r>
    </w:p>
    <w:p w14:paraId="2B723CA2">
      <w:pPr>
        <w:keepNext w:val="0"/>
        <w:keepLines w:val="0"/>
        <w:pageBreakBefore w:val="0"/>
        <w:widowControl w:val="0"/>
        <w:kinsoku/>
        <w:wordWrap/>
        <w:overflowPunct/>
        <w:topLinePunct w:val="0"/>
        <w:bidi w:val="0"/>
        <w:spacing w:line="396" w:lineRule="auto"/>
        <w:ind w:right="23" w:rightChars="11" w:firstLine="420" w:firstLineChars="200"/>
        <w:textAlignment w:val="auto"/>
        <w:rPr>
          <w:rFonts w:ascii="宋体" w:hAnsi="宋体" w:eastAsia="宋体" w:cs="宋体"/>
          <w:b/>
          <w:bCs/>
          <w:color w:val="auto"/>
          <w:szCs w:val="21"/>
          <w:highlight w:val="none"/>
        </w:rPr>
      </w:pPr>
      <w:r>
        <w:rPr>
          <w:rFonts w:hint="eastAsia" w:ascii="宋体" w:hAnsi="宋体" w:eastAsia="宋体" w:cs="宋体"/>
          <w:bCs/>
          <w:color w:val="auto"/>
          <w:szCs w:val="21"/>
          <w:highlight w:val="none"/>
        </w:rPr>
        <w:t>2）具体</w:t>
      </w:r>
      <w:r>
        <w:rPr>
          <w:rFonts w:hint="eastAsia" w:ascii="宋体" w:hAnsi="宋体" w:eastAsia="宋体" w:cs="宋体"/>
          <w:color w:val="auto"/>
          <w:szCs w:val="21"/>
          <w:highlight w:val="none"/>
        </w:rPr>
        <w:t>内容</w:t>
      </w:r>
      <w:r>
        <w:rPr>
          <w:rFonts w:hint="eastAsia" w:ascii="宋体" w:hAnsi="宋体" w:eastAsia="宋体" w:cs="宋体"/>
          <w:bCs/>
          <w:color w:val="auto"/>
          <w:szCs w:val="21"/>
          <w:highlight w:val="none"/>
        </w:rPr>
        <w:t>详见第三章</w:t>
      </w:r>
      <w:r>
        <w:rPr>
          <w:rFonts w:hint="eastAsia" w:ascii="宋体" w:hAnsi="宋体" w:eastAsia="宋体" w:cs="宋体"/>
          <w:color w:val="auto"/>
          <w:szCs w:val="21"/>
          <w:highlight w:val="none"/>
        </w:rPr>
        <w:t>专用合同条款部分。</w:t>
      </w:r>
    </w:p>
    <w:p w14:paraId="0138714D">
      <w:pPr>
        <w:keepNext w:val="0"/>
        <w:keepLines w:val="0"/>
        <w:pageBreakBefore w:val="0"/>
        <w:widowControl w:val="0"/>
        <w:kinsoku/>
        <w:wordWrap/>
        <w:overflowPunct/>
        <w:topLinePunct w:val="0"/>
        <w:bidi w:val="0"/>
        <w:adjustRightInd w:val="0"/>
        <w:snapToGrid w:val="0"/>
        <w:spacing w:line="396" w:lineRule="auto"/>
        <w:ind w:left="420" w:right="21" w:rightChars="10"/>
        <w:textAlignment w:val="auto"/>
        <w:rPr>
          <w:rFonts w:ascii="宋体" w:hAnsi="宋体" w:eastAsia="宋体" w:cs="宋体"/>
          <w:b/>
          <w:bCs/>
          <w:color w:val="auto"/>
          <w:szCs w:val="21"/>
          <w:highlight w:val="none"/>
        </w:rPr>
      </w:pPr>
      <w:r>
        <w:rPr>
          <w:rFonts w:hint="eastAsia" w:ascii="宋体" w:hAnsi="宋体" w:cs="宋体"/>
          <w:b/>
          <w:bCs/>
          <w:color w:val="auto"/>
          <w:szCs w:val="21"/>
          <w:highlight w:val="none"/>
          <w:lang w:val="en-US" w:eastAsia="zh-CN"/>
        </w:rPr>
        <w:t>5</w:t>
      </w:r>
      <w:r>
        <w:rPr>
          <w:rFonts w:hint="eastAsia" w:ascii="宋体" w:hAnsi="宋体" w:eastAsia="宋体" w:cs="宋体"/>
          <w:b/>
          <w:bCs/>
          <w:color w:val="auto"/>
          <w:szCs w:val="21"/>
          <w:highlight w:val="none"/>
        </w:rPr>
        <w:t>、项目人员要求</w:t>
      </w:r>
    </w:p>
    <w:p w14:paraId="7B9F88F2">
      <w:pPr>
        <w:keepNext w:val="0"/>
        <w:keepLines w:val="0"/>
        <w:pageBreakBefore w:val="0"/>
        <w:widowControl w:val="0"/>
        <w:kinsoku/>
        <w:wordWrap/>
        <w:overflowPunct/>
        <w:topLinePunct w:val="0"/>
        <w:bidi w:val="0"/>
        <w:spacing w:line="396" w:lineRule="auto"/>
        <w:ind w:firstLine="420" w:firstLineChars="200"/>
        <w:textAlignment w:val="auto"/>
        <w:rPr>
          <w:rFonts w:ascii="宋体" w:hAnsi="宋体" w:eastAsia="宋体" w:cs="宋体"/>
          <w:bCs/>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val="en-US" w:eastAsia="zh-CN"/>
        </w:rPr>
        <w:t>根据湘建建﹝2020﹞208号文件的要求，供应商须在响应文件的磋商响应声明中提供施工项目部关键岗位人员配备（至少3人，含项目负责人、施工员1人（可由技术负责人兼任）、安全员1人（综合类），在工程实施时根据项目需要配备到位。</w:t>
      </w:r>
    </w:p>
    <w:p w14:paraId="46B6320F">
      <w:pPr>
        <w:keepNext w:val="0"/>
        <w:keepLines w:val="0"/>
        <w:pageBreakBefore w:val="0"/>
        <w:widowControl w:val="0"/>
        <w:kinsoku/>
        <w:wordWrap/>
        <w:overflowPunct/>
        <w:topLinePunct w:val="0"/>
        <w:bidi w:val="0"/>
        <w:spacing w:line="396" w:lineRule="auto"/>
        <w:ind w:firstLine="420" w:firstLineChars="200"/>
        <w:textAlignment w:val="auto"/>
        <w:rPr>
          <w:rFonts w:ascii="宋体" w:hAnsi="宋体" w:eastAsia="宋体" w:cs="宋体"/>
          <w:bCs/>
          <w:color w:val="auto"/>
          <w:szCs w:val="21"/>
          <w:highlight w:val="none"/>
        </w:rPr>
      </w:pPr>
      <w:r>
        <w:rPr>
          <w:rFonts w:hint="eastAsia" w:ascii="宋体" w:hAnsi="宋体" w:cs="宋体"/>
          <w:bCs/>
          <w:color w:val="auto"/>
          <w:szCs w:val="21"/>
          <w:highlight w:val="none"/>
          <w:lang w:val="en-US" w:eastAsia="zh-CN"/>
        </w:rPr>
        <w:t>2</w:t>
      </w:r>
      <w:r>
        <w:rPr>
          <w:rFonts w:hint="eastAsia" w:ascii="宋体" w:hAnsi="宋体" w:eastAsia="宋体" w:cs="宋体"/>
          <w:bCs/>
          <w:color w:val="auto"/>
          <w:szCs w:val="21"/>
          <w:highlight w:val="none"/>
        </w:rPr>
        <w:t xml:space="preserve">）施工员取得省级住房和城乡建设主管部门颁发的施工员岗位资格证书；安全员取得省级住房和城乡建设主管部门颁发的专职安全生产管理人员安全生产考核合格证书；岗位资格证书注明了单位名称的，应与供应商一致，以上资格证书均应在有效期内； </w:t>
      </w:r>
    </w:p>
    <w:p w14:paraId="521513A1">
      <w:pPr>
        <w:keepNext w:val="0"/>
        <w:keepLines w:val="0"/>
        <w:pageBreakBefore w:val="0"/>
        <w:widowControl w:val="0"/>
        <w:kinsoku/>
        <w:wordWrap/>
        <w:overflowPunct/>
        <w:topLinePunct w:val="0"/>
        <w:bidi w:val="0"/>
        <w:spacing w:line="396" w:lineRule="auto"/>
        <w:ind w:firstLine="420" w:firstLineChars="200"/>
        <w:textAlignment w:val="auto"/>
        <w:rPr>
          <w:rFonts w:ascii="宋体" w:hAnsi="宋体" w:eastAsia="宋体" w:cs="宋体"/>
          <w:bCs/>
          <w:color w:val="auto"/>
          <w:szCs w:val="21"/>
          <w:highlight w:val="none"/>
        </w:rPr>
      </w:pPr>
      <w:r>
        <w:rPr>
          <w:rFonts w:hint="eastAsia" w:ascii="宋体" w:hAnsi="宋体" w:cs="宋体"/>
          <w:bCs/>
          <w:color w:val="auto"/>
          <w:szCs w:val="21"/>
          <w:highlight w:val="none"/>
          <w:lang w:val="en-US" w:eastAsia="zh-CN"/>
        </w:rPr>
        <w:t>3</w:t>
      </w:r>
      <w:r>
        <w:rPr>
          <w:rFonts w:hint="eastAsia" w:ascii="宋体" w:hAnsi="宋体" w:eastAsia="宋体" w:cs="宋体"/>
          <w:bCs/>
          <w:color w:val="auto"/>
          <w:szCs w:val="21"/>
          <w:highlight w:val="none"/>
        </w:rPr>
        <w:t>）省外企业关键岗位人员如持有外省住房和城乡建设主管部门颁发的岗位资格证书，其证书应能通过互联网查询真伪；</w:t>
      </w:r>
    </w:p>
    <w:p w14:paraId="627D5271">
      <w:pPr>
        <w:keepNext w:val="0"/>
        <w:keepLines w:val="0"/>
        <w:pageBreakBefore w:val="0"/>
        <w:widowControl w:val="0"/>
        <w:kinsoku/>
        <w:wordWrap/>
        <w:overflowPunct/>
        <w:topLinePunct w:val="0"/>
        <w:bidi w:val="0"/>
        <w:spacing w:line="396" w:lineRule="auto"/>
        <w:ind w:firstLine="420" w:firstLineChars="200"/>
        <w:textAlignment w:val="auto"/>
        <w:rPr>
          <w:rFonts w:ascii="宋体" w:hAnsi="宋体" w:eastAsia="宋体" w:cs="宋体"/>
          <w:bCs/>
          <w:color w:val="auto"/>
          <w:szCs w:val="21"/>
          <w:highlight w:val="none"/>
        </w:rPr>
      </w:pPr>
      <w:r>
        <w:rPr>
          <w:rFonts w:hint="eastAsia" w:ascii="宋体" w:hAnsi="宋体" w:cs="宋体"/>
          <w:bCs/>
          <w:color w:val="auto"/>
          <w:szCs w:val="21"/>
          <w:highlight w:val="none"/>
          <w:lang w:val="en-US" w:eastAsia="zh-CN"/>
        </w:rPr>
        <w:t>4</w:t>
      </w:r>
      <w:r>
        <w:rPr>
          <w:rFonts w:hint="eastAsia" w:ascii="宋体" w:hAnsi="宋体" w:eastAsia="宋体" w:cs="宋体"/>
          <w:bCs/>
          <w:color w:val="auto"/>
          <w:szCs w:val="21"/>
          <w:highlight w:val="none"/>
        </w:rPr>
        <w:t>）拟任本次投标的（关键岗位人员 ）必须是本企业在职人员。</w:t>
      </w:r>
    </w:p>
    <w:p w14:paraId="112F0460">
      <w:pPr>
        <w:keepNext w:val="0"/>
        <w:keepLines w:val="0"/>
        <w:pageBreakBefore w:val="0"/>
        <w:widowControl w:val="0"/>
        <w:kinsoku/>
        <w:wordWrap/>
        <w:overflowPunct/>
        <w:topLinePunct w:val="0"/>
        <w:autoSpaceDE/>
        <w:autoSpaceDN/>
        <w:bidi w:val="0"/>
        <w:adjustRightInd w:val="0"/>
        <w:snapToGrid w:val="0"/>
        <w:spacing w:line="396" w:lineRule="auto"/>
        <w:ind w:firstLine="420" w:firstLineChars="200"/>
        <w:textAlignment w:val="auto"/>
        <w:rPr>
          <w:rFonts w:hint="eastAsia" w:asciiTheme="minorEastAsia" w:hAnsiTheme="minorEastAsia" w:eastAsiaTheme="minorEastAsia" w:cstheme="minorEastAsia"/>
          <w:bCs/>
          <w:color w:val="auto"/>
          <w:szCs w:val="21"/>
          <w:highlight w:val="none"/>
          <w:lang w:eastAsia="zh-Hans"/>
        </w:rPr>
      </w:pPr>
      <w:r>
        <w:rPr>
          <w:rFonts w:hint="eastAsia" w:asciiTheme="minorEastAsia" w:hAnsiTheme="minorEastAsia" w:eastAsiaTheme="minorEastAsia" w:cstheme="minorEastAsia"/>
          <w:bCs/>
          <w:color w:val="auto"/>
          <w:szCs w:val="21"/>
          <w:highlight w:val="none"/>
          <w:lang w:val="en-US" w:eastAsia="zh-CN"/>
        </w:rPr>
        <w:t>6、</w:t>
      </w:r>
      <w:r>
        <w:rPr>
          <w:rFonts w:hint="eastAsia" w:asciiTheme="minorEastAsia" w:hAnsiTheme="minorEastAsia" w:eastAsiaTheme="minorEastAsia" w:cstheme="minorEastAsia"/>
          <w:bCs/>
          <w:color w:val="auto"/>
          <w:szCs w:val="21"/>
          <w:highlight w:val="none"/>
          <w:lang w:eastAsia="zh-Hans"/>
        </w:rPr>
        <w:t>本项目不组织踏勘，供应商在投标前，如需踏勘现场，有关费用自理，踏勘期间发生的意外自负。</w:t>
      </w:r>
    </w:p>
    <w:p w14:paraId="51BE3601">
      <w:pPr>
        <w:keepNext w:val="0"/>
        <w:keepLines w:val="0"/>
        <w:pageBreakBefore w:val="0"/>
        <w:widowControl w:val="0"/>
        <w:kinsoku/>
        <w:wordWrap/>
        <w:overflowPunct/>
        <w:topLinePunct w:val="0"/>
        <w:autoSpaceDE/>
        <w:autoSpaceDN/>
        <w:bidi w:val="0"/>
        <w:adjustRightInd w:val="0"/>
        <w:snapToGrid w:val="0"/>
        <w:spacing w:line="396" w:lineRule="auto"/>
        <w:ind w:right="21" w:rightChars="10" w:firstLine="420" w:firstLineChars="200"/>
        <w:textAlignment w:val="auto"/>
        <w:rPr>
          <w:rFonts w:hint="eastAsia" w:asciiTheme="minorEastAsia" w:hAnsiTheme="minorEastAsia" w:eastAsiaTheme="minorEastAsia" w:cstheme="minorEastAsia"/>
          <w:bCs/>
          <w:strike w:val="0"/>
          <w:dstrike w:val="0"/>
          <w:color w:val="auto"/>
          <w:szCs w:val="21"/>
          <w:highlight w:val="none"/>
          <w:lang w:val="en-US"/>
        </w:rPr>
      </w:pPr>
      <w:r>
        <w:rPr>
          <w:rFonts w:hint="eastAsia" w:asciiTheme="minorEastAsia" w:hAnsiTheme="minorEastAsia" w:eastAsiaTheme="minorEastAsia" w:cstheme="minorEastAsia"/>
          <w:bCs/>
          <w:strike w:val="0"/>
          <w:dstrike w:val="0"/>
          <w:color w:val="auto"/>
          <w:szCs w:val="21"/>
          <w:highlight w:val="none"/>
          <w:lang w:val="en-US" w:eastAsia="zh-CN"/>
        </w:rPr>
        <w:t>7、成交人</w:t>
      </w:r>
      <w:r>
        <w:rPr>
          <w:rFonts w:hint="eastAsia" w:asciiTheme="minorEastAsia" w:hAnsiTheme="minorEastAsia" w:eastAsiaTheme="minorEastAsia" w:cstheme="minorEastAsia"/>
          <w:bCs/>
          <w:strike w:val="0"/>
          <w:dstrike w:val="0"/>
          <w:color w:val="auto"/>
          <w:szCs w:val="21"/>
          <w:highlight w:val="none"/>
        </w:rPr>
        <w:t>应根据项目要求和现场情况，</w:t>
      </w:r>
      <w:r>
        <w:rPr>
          <w:rFonts w:hint="eastAsia" w:asciiTheme="minorEastAsia" w:hAnsiTheme="minorEastAsia" w:eastAsiaTheme="minorEastAsia" w:cstheme="minorEastAsia"/>
          <w:bCs/>
          <w:strike w:val="0"/>
          <w:dstrike w:val="0"/>
          <w:color w:val="auto"/>
          <w:szCs w:val="21"/>
          <w:highlight w:val="none"/>
          <w:lang w:val="en-US" w:eastAsia="zh-CN"/>
        </w:rPr>
        <w:t>详细列明项目所需的设备、材料以及所有人工、管理、财务等费用，如成交人遗漏招标文件所列工程量清单类容，均由成交人自行负责，采购人不再另行支付任何费用。</w:t>
      </w:r>
    </w:p>
    <w:p w14:paraId="643F6A61">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lang w:val="en-US" w:eastAsia="zh-Hans"/>
        </w:rPr>
      </w:pPr>
      <w:r>
        <w:rPr>
          <w:rFonts w:hint="eastAsia" w:ascii="宋体" w:hAnsi="宋体" w:cs="宋体"/>
          <w:color w:val="auto"/>
          <w:kern w:val="0"/>
          <w:sz w:val="21"/>
          <w:szCs w:val="21"/>
          <w:highlight w:val="none"/>
          <w:shd w:val="clear" w:fill="FFFFFF"/>
          <w:lang w:val="en-US" w:eastAsia="zh-CN"/>
        </w:rPr>
        <w:t>8</w:t>
      </w:r>
      <w:r>
        <w:rPr>
          <w:rFonts w:hint="eastAsia" w:ascii="宋体" w:hAnsi="宋体" w:eastAsia="宋体" w:cs="宋体"/>
          <w:color w:val="auto"/>
          <w:kern w:val="0"/>
          <w:sz w:val="21"/>
          <w:szCs w:val="21"/>
          <w:highlight w:val="none"/>
          <w:shd w:val="clear" w:fill="FFFFFF"/>
          <w:lang w:val="en-US" w:eastAsia="zh-CN"/>
        </w:rPr>
        <w:t>、</w:t>
      </w:r>
      <w:r>
        <w:rPr>
          <w:rFonts w:hint="eastAsia" w:ascii="宋体" w:hAnsi="宋体" w:eastAsia="宋体" w:cs="宋体"/>
          <w:color w:val="auto"/>
          <w:kern w:val="0"/>
          <w:sz w:val="21"/>
          <w:szCs w:val="21"/>
          <w:highlight w:val="none"/>
          <w:shd w:val="clear" w:fill="FFFFFF"/>
          <w:lang w:val="en-US" w:eastAsia="zh-Hans"/>
        </w:rPr>
        <w:t>本项目为竞争性磋商，需进行两轮报价。第一轮报价，包含总报价表及分项清单报价表，与投标文件一起递交。第二轮（最终）报价，需在评审小组发起报价后的30分钟内（具体时间以评审小组设置为准）递交，否则视为放弃报价。</w:t>
      </w:r>
    </w:p>
    <w:p w14:paraId="3E9FABB5">
      <w:pPr>
        <w:keepNext w:val="0"/>
        <w:keepLines w:val="0"/>
        <w:pageBreakBefore w:val="0"/>
        <w:widowControl/>
        <w:wordWrap/>
        <w:overflowPunct/>
        <w:topLinePunct w:val="0"/>
        <w:bidi w:val="0"/>
        <w:adjustRightInd w:val="0"/>
        <w:snapToGrid w:val="0"/>
        <w:spacing w:line="360" w:lineRule="auto"/>
        <w:ind w:left="0" w:right="0" w:firstLine="420" w:firstLineChars="200"/>
        <w:jc w:val="left"/>
        <w:outlineLvl w:val="9"/>
        <w:rPr>
          <w:rFonts w:hint="eastAsia" w:ascii="宋体" w:hAnsi="宋体" w:eastAsia="宋体" w:cs="宋体"/>
          <w:color w:val="auto"/>
          <w:kern w:val="0"/>
          <w:sz w:val="21"/>
          <w:szCs w:val="21"/>
          <w:highlight w:val="none"/>
          <w:shd w:val="clear" w:fill="FFFFFF"/>
          <w:lang w:val="en-US" w:eastAsia="zh-Hans"/>
        </w:rPr>
      </w:pPr>
      <w:r>
        <w:rPr>
          <w:rFonts w:hint="eastAsia" w:ascii="宋体" w:hAnsi="宋体" w:eastAsia="宋体" w:cs="宋体"/>
          <w:color w:val="auto"/>
          <w:kern w:val="0"/>
          <w:sz w:val="21"/>
          <w:szCs w:val="21"/>
          <w:highlight w:val="none"/>
          <w:shd w:val="clear" w:fill="FFFFFF"/>
          <w:lang w:val="en-US" w:eastAsia="zh-Hans"/>
        </w:rPr>
        <w:t>第二轮（最终）报价各投标供应商应提前准备。附件需将报价总表及对应的清单报价表提前准备好，打印并签字盖章。</w:t>
      </w:r>
    </w:p>
    <w:p w14:paraId="10D92926">
      <w:pPr>
        <w:keepNext w:val="0"/>
        <w:keepLines w:val="0"/>
        <w:pageBreakBefore w:val="0"/>
        <w:widowControl w:val="0"/>
        <w:kinsoku/>
        <w:wordWrap/>
        <w:overflowPunct/>
        <w:topLinePunct w:val="0"/>
        <w:bidi w:val="0"/>
        <w:spacing w:line="396" w:lineRule="auto"/>
        <w:textAlignment w:val="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注：</w:t>
      </w:r>
    </w:p>
    <w:p w14:paraId="618D9ACB">
      <w:pPr>
        <w:keepNext w:val="0"/>
        <w:keepLines w:val="0"/>
        <w:pageBreakBefore w:val="0"/>
        <w:widowControl w:val="0"/>
        <w:kinsoku/>
        <w:wordWrap/>
        <w:overflowPunct/>
        <w:topLinePunct w:val="0"/>
        <w:bidi w:val="0"/>
        <w:spacing w:line="396" w:lineRule="auto"/>
        <w:ind w:firstLine="422" w:firstLineChars="200"/>
        <w:textAlignment w:val="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1、本项目为非政府采购项目，由采购单位负责项目的监管及相关问题处理，如有任何问题请与采购单位联系。</w:t>
      </w:r>
    </w:p>
    <w:p w14:paraId="1A1AE88D">
      <w:pPr>
        <w:keepNext w:val="0"/>
        <w:keepLines w:val="0"/>
        <w:pageBreakBefore w:val="0"/>
        <w:widowControl w:val="0"/>
        <w:kinsoku/>
        <w:wordWrap/>
        <w:overflowPunct/>
        <w:topLinePunct w:val="0"/>
        <w:bidi w:val="0"/>
        <w:spacing w:line="396" w:lineRule="auto"/>
        <w:ind w:firstLine="422" w:firstLineChars="200"/>
        <w:textAlignment w:val="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2、对于上述项目要求，投标人应在投标文件中进行回应，作出承诺及说明。</w:t>
      </w:r>
    </w:p>
    <w:p w14:paraId="0F3027AE">
      <w:pPr>
        <w:keepNext w:val="0"/>
        <w:keepLines w:val="0"/>
        <w:pageBreakBefore w:val="0"/>
        <w:widowControl w:val="0"/>
        <w:kinsoku/>
        <w:wordWrap/>
        <w:overflowPunct/>
        <w:topLinePunct w:val="0"/>
        <w:bidi w:val="0"/>
        <w:spacing w:line="396" w:lineRule="auto"/>
        <w:ind w:firstLine="422" w:firstLineChars="200"/>
        <w:textAlignment w:val="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color w:val="auto"/>
          <w:kern w:val="0"/>
          <w:szCs w:val="21"/>
          <w:highlight w:val="none"/>
          <w:lang w:val="en-US" w:eastAsia="zh-CN"/>
        </w:rPr>
        <w:t>3、最终合同相关条款以成交人与采购人双方协商为准。</w:t>
      </w:r>
    </w:p>
    <w:p w14:paraId="6EFC746F">
      <w:pPr>
        <w:keepNext w:val="0"/>
        <w:keepLines w:val="0"/>
        <w:pageBreakBefore w:val="0"/>
        <w:overflowPunct/>
        <w:topLinePunct w:val="0"/>
        <w:bidi w:val="0"/>
        <w:spacing w:after="0" w:line="360" w:lineRule="auto"/>
        <w:ind w:left="0" w:right="0" w:firstLine="422" w:firstLineChars="200"/>
        <w:jc w:val="left"/>
        <w:outlineLvl w:val="9"/>
        <w:rPr>
          <w:rFonts w:hint="eastAsia" w:ascii="宋体" w:hAnsi="宋体" w:eastAsia="宋体" w:cs="宋体"/>
          <w:b/>
          <w:color w:val="auto"/>
          <w:sz w:val="21"/>
          <w:szCs w:val="21"/>
          <w:highlight w:val="none"/>
          <w:shd w:val="clear" w:fill="FFFFFF"/>
          <w:lang w:val="en-US" w:eastAsia="zh-CN"/>
        </w:rPr>
      </w:pPr>
    </w:p>
    <w:p w14:paraId="0D216A98">
      <w:pPr>
        <w:rPr>
          <w:color w:val="auto"/>
          <w:highlight w:val="none"/>
        </w:rPr>
      </w:pPr>
    </w:p>
    <w:p w14:paraId="0D80F9F1">
      <w:pPr>
        <w:snapToGrid w:val="0"/>
        <w:spacing w:line="360" w:lineRule="auto"/>
        <w:jc w:val="center"/>
        <w:rPr>
          <w:rFonts w:hint="eastAsia" w:ascii="宋体" w:hAnsi="宋体" w:eastAsia="宋体" w:cs="Times New Roman"/>
          <w:b/>
          <w:color w:val="auto"/>
          <w:kern w:val="0"/>
          <w:sz w:val="32"/>
          <w:szCs w:val="20"/>
          <w:highlight w:val="none"/>
        </w:rPr>
      </w:pPr>
    </w:p>
    <w:p w14:paraId="1533F712">
      <w:pPr>
        <w:snapToGrid w:val="0"/>
        <w:spacing w:line="360" w:lineRule="auto"/>
        <w:jc w:val="center"/>
        <w:rPr>
          <w:rFonts w:hint="eastAsia" w:ascii="宋体" w:hAnsi="宋体" w:eastAsia="宋体" w:cs="Times New Roman"/>
          <w:b/>
          <w:color w:val="auto"/>
          <w:kern w:val="0"/>
          <w:sz w:val="32"/>
          <w:szCs w:val="20"/>
          <w:highlight w:val="none"/>
        </w:rPr>
      </w:pPr>
    </w:p>
    <w:p w14:paraId="29A6719F">
      <w:pPr>
        <w:snapToGrid w:val="0"/>
        <w:spacing w:line="360" w:lineRule="auto"/>
        <w:jc w:val="center"/>
        <w:rPr>
          <w:rFonts w:hint="eastAsia" w:ascii="宋体" w:hAnsi="宋体" w:eastAsia="宋体" w:cs="Times New Roman"/>
          <w:b/>
          <w:color w:val="auto"/>
          <w:kern w:val="0"/>
          <w:sz w:val="32"/>
          <w:szCs w:val="20"/>
          <w:highlight w:val="none"/>
        </w:rPr>
      </w:pPr>
    </w:p>
    <w:p w14:paraId="751B3978">
      <w:pPr>
        <w:snapToGrid w:val="0"/>
        <w:spacing w:line="360" w:lineRule="auto"/>
        <w:jc w:val="center"/>
        <w:rPr>
          <w:rFonts w:hint="eastAsia" w:ascii="宋体" w:hAnsi="宋体" w:eastAsia="宋体" w:cs="Times New Roman"/>
          <w:b/>
          <w:color w:val="auto"/>
          <w:kern w:val="0"/>
          <w:sz w:val="32"/>
          <w:szCs w:val="20"/>
          <w:highlight w:val="none"/>
        </w:rPr>
      </w:pPr>
    </w:p>
    <w:p w14:paraId="48223514">
      <w:pPr>
        <w:snapToGrid w:val="0"/>
        <w:spacing w:line="360" w:lineRule="auto"/>
        <w:jc w:val="center"/>
        <w:rPr>
          <w:rFonts w:hint="eastAsia" w:ascii="宋体" w:hAnsi="宋体" w:eastAsia="宋体" w:cs="Times New Roman"/>
          <w:b/>
          <w:color w:val="auto"/>
          <w:kern w:val="0"/>
          <w:sz w:val="32"/>
          <w:szCs w:val="20"/>
          <w:highlight w:val="none"/>
        </w:rPr>
      </w:pPr>
    </w:p>
    <w:p w14:paraId="6626F43E">
      <w:pPr>
        <w:snapToGrid w:val="0"/>
        <w:spacing w:line="360" w:lineRule="auto"/>
        <w:jc w:val="center"/>
        <w:rPr>
          <w:rFonts w:hint="eastAsia" w:ascii="宋体" w:hAnsi="宋体" w:eastAsia="宋体" w:cs="Times New Roman"/>
          <w:b/>
          <w:color w:val="auto"/>
          <w:kern w:val="0"/>
          <w:sz w:val="32"/>
          <w:szCs w:val="20"/>
          <w:highlight w:val="none"/>
        </w:rPr>
      </w:pPr>
    </w:p>
    <w:p w14:paraId="519D1250">
      <w:pPr>
        <w:snapToGrid w:val="0"/>
        <w:spacing w:line="360" w:lineRule="auto"/>
        <w:jc w:val="center"/>
        <w:rPr>
          <w:rFonts w:hint="eastAsia" w:ascii="宋体" w:hAnsi="宋体" w:eastAsia="宋体" w:cs="Times New Roman"/>
          <w:b/>
          <w:color w:val="auto"/>
          <w:kern w:val="0"/>
          <w:sz w:val="32"/>
          <w:szCs w:val="20"/>
          <w:highlight w:val="none"/>
        </w:rPr>
      </w:pPr>
    </w:p>
    <w:p w14:paraId="2F206D99">
      <w:pPr>
        <w:snapToGrid w:val="0"/>
        <w:spacing w:line="360" w:lineRule="auto"/>
        <w:jc w:val="center"/>
        <w:rPr>
          <w:rFonts w:hint="eastAsia" w:ascii="宋体" w:hAnsi="宋体" w:eastAsia="宋体" w:cs="Times New Roman"/>
          <w:b/>
          <w:color w:val="auto"/>
          <w:kern w:val="0"/>
          <w:sz w:val="32"/>
          <w:szCs w:val="20"/>
          <w:highlight w:val="none"/>
        </w:rPr>
      </w:pPr>
    </w:p>
    <w:p w14:paraId="6552593C">
      <w:pPr>
        <w:snapToGrid w:val="0"/>
        <w:spacing w:line="360" w:lineRule="auto"/>
        <w:jc w:val="center"/>
        <w:rPr>
          <w:rFonts w:hint="eastAsia" w:ascii="宋体" w:hAnsi="宋体" w:eastAsia="宋体" w:cs="Times New Roman"/>
          <w:b/>
          <w:color w:val="auto"/>
          <w:kern w:val="0"/>
          <w:sz w:val="32"/>
          <w:szCs w:val="20"/>
          <w:highlight w:val="none"/>
        </w:rPr>
      </w:pPr>
    </w:p>
    <w:p w14:paraId="5227136E">
      <w:pPr>
        <w:snapToGrid w:val="0"/>
        <w:spacing w:line="360" w:lineRule="auto"/>
        <w:jc w:val="center"/>
        <w:rPr>
          <w:rFonts w:hint="eastAsia" w:ascii="宋体" w:hAnsi="宋体" w:eastAsia="宋体" w:cs="Times New Roman"/>
          <w:b/>
          <w:color w:val="auto"/>
          <w:kern w:val="0"/>
          <w:sz w:val="32"/>
          <w:szCs w:val="20"/>
          <w:highlight w:val="none"/>
        </w:rPr>
      </w:pPr>
    </w:p>
    <w:p w14:paraId="0FA9559D">
      <w:pPr>
        <w:snapToGrid w:val="0"/>
        <w:spacing w:line="360" w:lineRule="auto"/>
        <w:jc w:val="center"/>
        <w:rPr>
          <w:rFonts w:hint="eastAsia" w:ascii="宋体" w:hAnsi="宋体" w:eastAsia="宋体" w:cs="Times New Roman"/>
          <w:b/>
          <w:color w:val="auto"/>
          <w:kern w:val="0"/>
          <w:sz w:val="32"/>
          <w:szCs w:val="20"/>
          <w:highlight w:val="none"/>
        </w:rPr>
      </w:pPr>
    </w:p>
    <w:p w14:paraId="4CA28424">
      <w:pPr>
        <w:snapToGrid w:val="0"/>
        <w:spacing w:line="360" w:lineRule="auto"/>
        <w:jc w:val="center"/>
        <w:rPr>
          <w:rFonts w:hint="eastAsia" w:ascii="宋体" w:hAnsi="宋体" w:eastAsia="宋体" w:cs="Times New Roman"/>
          <w:b/>
          <w:color w:val="auto"/>
          <w:kern w:val="0"/>
          <w:sz w:val="32"/>
          <w:szCs w:val="20"/>
          <w:highlight w:val="none"/>
        </w:rPr>
      </w:pPr>
    </w:p>
    <w:p w14:paraId="46D7A9FD">
      <w:pPr>
        <w:snapToGrid w:val="0"/>
        <w:spacing w:line="360" w:lineRule="auto"/>
        <w:jc w:val="center"/>
        <w:rPr>
          <w:rFonts w:hint="eastAsia" w:ascii="宋体" w:hAnsi="宋体" w:eastAsia="宋体" w:cs="Times New Roman"/>
          <w:b/>
          <w:color w:val="auto"/>
          <w:kern w:val="0"/>
          <w:sz w:val="32"/>
          <w:szCs w:val="20"/>
          <w:highlight w:val="none"/>
        </w:rPr>
      </w:pPr>
    </w:p>
    <w:p w14:paraId="7E35A73B">
      <w:pPr>
        <w:snapToGrid w:val="0"/>
        <w:spacing w:line="360" w:lineRule="auto"/>
        <w:jc w:val="center"/>
        <w:rPr>
          <w:rFonts w:hint="eastAsia" w:ascii="宋体" w:hAnsi="宋体" w:eastAsia="宋体" w:cs="Times New Roman"/>
          <w:b/>
          <w:color w:val="auto"/>
          <w:kern w:val="0"/>
          <w:sz w:val="32"/>
          <w:szCs w:val="20"/>
          <w:highlight w:val="none"/>
        </w:rPr>
      </w:pPr>
    </w:p>
    <w:p w14:paraId="51B089B6">
      <w:pPr>
        <w:snapToGrid w:val="0"/>
        <w:spacing w:line="360" w:lineRule="auto"/>
        <w:jc w:val="center"/>
        <w:rPr>
          <w:rFonts w:hint="eastAsia" w:ascii="宋体" w:hAnsi="宋体" w:eastAsia="宋体" w:cs="Times New Roman"/>
          <w:b/>
          <w:color w:val="auto"/>
          <w:kern w:val="0"/>
          <w:sz w:val="32"/>
          <w:szCs w:val="20"/>
          <w:highlight w:val="none"/>
        </w:rPr>
      </w:pPr>
    </w:p>
    <w:p w14:paraId="3B9BF146">
      <w:pPr>
        <w:snapToGrid w:val="0"/>
        <w:spacing w:line="360" w:lineRule="auto"/>
        <w:jc w:val="center"/>
        <w:rPr>
          <w:rFonts w:hint="eastAsia" w:ascii="宋体" w:hAnsi="宋体" w:eastAsia="宋体" w:cs="Times New Roman"/>
          <w:b/>
          <w:color w:val="auto"/>
          <w:kern w:val="0"/>
          <w:sz w:val="32"/>
          <w:szCs w:val="20"/>
          <w:highlight w:val="none"/>
        </w:rPr>
      </w:pPr>
    </w:p>
    <w:p w14:paraId="5852B386">
      <w:pPr>
        <w:snapToGrid w:val="0"/>
        <w:spacing w:line="360" w:lineRule="auto"/>
        <w:jc w:val="center"/>
        <w:rPr>
          <w:rFonts w:hint="eastAsia" w:ascii="宋体" w:hAnsi="宋体" w:eastAsia="宋体" w:cs="Times New Roman"/>
          <w:b/>
          <w:color w:val="auto"/>
          <w:kern w:val="0"/>
          <w:sz w:val="32"/>
          <w:szCs w:val="20"/>
          <w:highlight w:val="none"/>
        </w:rPr>
      </w:pPr>
    </w:p>
    <w:p w14:paraId="71B208D6">
      <w:pPr>
        <w:snapToGrid w:val="0"/>
        <w:spacing w:line="360" w:lineRule="auto"/>
        <w:jc w:val="center"/>
        <w:rPr>
          <w:rFonts w:hint="eastAsia" w:ascii="宋体" w:hAnsi="宋体" w:eastAsia="宋体" w:cs="Times New Roman"/>
          <w:b/>
          <w:color w:val="auto"/>
          <w:kern w:val="0"/>
          <w:sz w:val="32"/>
          <w:szCs w:val="20"/>
          <w:highlight w:val="none"/>
        </w:rPr>
      </w:pPr>
    </w:p>
    <w:p w14:paraId="0D525014">
      <w:pPr>
        <w:snapToGrid w:val="0"/>
        <w:spacing w:line="360" w:lineRule="auto"/>
        <w:jc w:val="center"/>
        <w:rPr>
          <w:rFonts w:hint="eastAsia" w:ascii="宋体" w:hAnsi="宋体" w:eastAsia="宋体" w:cs="Times New Roman"/>
          <w:b/>
          <w:color w:val="auto"/>
          <w:kern w:val="0"/>
          <w:sz w:val="32"/>
          <w:szCs w:val="20"/>
          <w:highlight w:val="none"/>
        </w:rPr>
      </w:pPr>
    </w:p>
    <w:p w14:paraId="6AB1FF1E">
      <w:pPr>
        <w:snapToGrid w:val="0"/>
        <w:spacing w:line="360" w:lineRule="auto"/>
        <w:jc w:val="center"/>
        <w:rPr>
          <w:rFonts w:hint="eastAsia" w:ascii="宋体" w:hAnsi="宋体" w:eastAsia="宋体" w:cs="Times New Roman"/>
          <w:b/>
          <w:color w:val="auto"/>
          <w:kern w:val="0"/>
          <w:sz w:val="32"/>
          <w:szCs w:val="20"/>
          <w:highlight w:val="none"/>
        </w:rPr>
      </w:pPr>
    </w:p>
    <w:p w14:paraId="145F2FDE">
      <w:pPr>
        <w:snapToGrid w:val="0"/>
        <w:spacing w:line="360" w:lineRule="auto"/>
        <w:jc w:val="center"/>
        <w:rPr>
          <w:rFonts w:ascii="宋体" w:hAnsi="宋体" w:eastAsia="宋体" w:cs="Times New Roman"/>
          <w:b/>
          <w:color w:val="auto"/>
          <w:kern w:val="0"/>
          <w:sz w:val="32"/>
          <w:szCs w:val="20"/>
          <w:highlight w:val="none"/>
        </w:rPr>
      </w:pPr>
      <w:r>
        <w:rPr>
          <w:rFonts w:hint="eastAsia" w:ascii="宋体" w:hAnsi="宋体" w:eastAsia="宋体" w:cs="Times New Roman"/>
          <w:b/>
          <w:color w:val="auto"/>
          <w:kern w:val="0"/>
          <w:sz w:val="32"/>
          <w:szCs w:val="20"/>
          <w:highlight w:val="none"/>
        </w:rPr>
        <w:t>第五章 响应文件组成</w:t>
      </w:r>
    </w:p>
    <w:p w14:paraId="426468E6">
      <w:pPr>
        <w:snapToGrid w:val="0"/>
        <w:spacing w:line="360" w:lineRule="auto"/>
        <w:ind w:firstLine="210"/>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供应商的响应文件应包含以下九个部分：</w:t>
      </w:r>
    </w:p>
    <w:p w14:paraId="24B9D67C">
      <w:pPr>
        <w:snapToGrid w:val="0"/>
        <w:spacing w:line="360" w:lineRule="auto"/>
        <w:jc w:val="left"/>
        <w:rPr>
          <w:rFonts w:ascii="宋体" w:hAnsi="宋体" w:eastAsia="宋体" w:cs="Times New Roman"/>
          <w:b/>
          <w:color w:val="auto"/>
          <w:kern w:val="0"/>
          <w:szCs w:val="20"/>
          <w:highlight w:val="none"/>
        </w:rPr>
      </w:pPr>
      <w:r>
        <w:rPr>
          <w:rFonts w:hint="eastAsia" w:ascii="宋体" w:hAnsi="宋体" w:eastAsia="宋体" w:cs="Times New Roman"/>
          <w:b/>
          <w:color w:val="auto"/>
          <w:kern w:val="0"/>
          <w:szCs w:val="20"/>
          <w:highlight w:val="none"/>
        </w:rPr>
        <w:t>一、磋商响应声明</w:t>
      </w:r>
    </w:p>
    <w:p w14:paraId="13E73BB4">
      <w:pPr>
        <w:snapToGrid w:val="0"/>
        <w:spacing w:line="360" w:lineRule="auto"/>
        <w:ind w:right="21" w:firstLine="420"/>
        <w:jc w:val="lef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附件1：法定代表人身份证明</w:t>
      </w:r>
    </w:p>
    <w:p w14:paraId="058A42D1">
      <w:pPr>
        <w:snapToGrid w:val="0"/>
        <w:spacing w:line="360" w:lineRule="auto"/>
        <w:ind w:right="21" w:firstLine="420"/>
        <w:jc w:val="lef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附件2：法定代表人授权书</w:t>
      </w:r>
    </w:p>
    <w:p w14:paraId="6E47FA1D">
      <w:pPr>
        <w:snapToGrid w:val="0"/>
        <w:spacing w:line="360" w:lineRule="auto"/>
        <w:ind w:right="21" w:firstLine="420"/>
        <w:jc w:val="lef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附件</w:t>
      </w:r>
      <w:r>
        <w:rPr>
          <w:rFonts w:hint="eastAsia" w:ascii="宋体" w:hAnsi="宋体" w:cs="Times New Roman"/>
          <w:color w:val="auto"/>
          <w:kern w:val="0"/>
          <w:szCs w:val="20"/>
          <w:highlight w:val="none"/>
          <w:lang w:val="en-US" w:eastAsia="zh-CN"/>
        </w:rPr>
        <w:t>3</w:t>
      </w:r>
      <w:r>
        <w:rPr>
          <w:rFonts w:hint="eastAsia" w:ascii="宋体" w:hAnsi="宋体" w:eastAsia="宋体" w:cs="Times New Roman"/>
          <w:color w:val="auto"/>
          <w:kern w:val="0"/>
          <w:szCs w:val="20"/>
          <w:highlight w:val="none"/>
        </w:rPr>
        <w:t>：不拖欠民工工资承诺书</w:t>
      </w:r>
    </w:p>
    <w:p w14:paraId="36397F9E">
      <w:pPr>
        <w:snapToGrid w:val="0"/>
        <w:spacing w:line="360" w:lineRule="auto"/>
        <w:jc w:val="left"/>
        <w:rPr>
          <w:rFonts w:ascii="宋体" w:hAnsi="宋体" w:eastAsia="宋体" w:cs="Times New Roman"/>
          <w:b/>
          <w:color w:val="auto"/>
          <w:kern w:val="0"/>
          <w:szCs w:val="20"/>
          <w:highlight w:val="none"/>
        </w:rPr>
      </w:pPr>
      <w:r>
        <w:rPr>
          <w:rFonts w:hint="eastAsia" w:ascii="宋体" w:hAnsi="宋体" w:eastAsia="宋体" w:cs="Times New Roman"/>
          <w:b/>
          <w:color w:val="auto"/>
          <w:kern w:val="0"/>
          <w:szCs w:val="20"/>
          <w:highlight w:val="none"/>
        </w:rPr>
        <w:t>二、投标承诺</w:t>
      </w:r>
    </w:p>
    <w:p w14:paraId="422DBE3F">
      <w:pPr>
        <w:snapToGrid w:val="0"/>
        <w:spacing w:line="360" w:lineRule="auto"/>
        <w:ind w:right="21" w:firstLine="420"/>
        <w:jc w:val="left"/>
        <w:rPr>
          <w:rFonts w:ascii="宋体" w:hAnsi="宋体" w:eastAsia="宋体" w:cs="Times New Roman"/>
          <w:b/>
          <w:color w:val="auto"/>
          <w:kern w:val="0"/>
          <w:szCs w:val="20"/>
          <w:highlight w:val="none"/>
        </w:rPr>
      </w:pPr>
      <w:r>
        <w:rPr>
          <w:rFonts w:hint="eastAsia" w:ascii="宋体" w:hAnsi="宋体" w:eastAsia="宋体" w:cs="Times New Roman"/>
          <w:color w:val="auto"/>
          <w:kern w:val="0"/>
          <w:szCs w:val="20"/>
          <w:highlight w:val="none"/>
        </w:rPr>
        <w:t>附件</w:t>
      </w:r>
      <w:r>
        <w:rPr>
          <w:rFonts w:hint="eastAsia" w:ascii="宋体" w:hAnsi="宋体" w:cs="Times New Roman"/>
          <w:color w:val="auto"/>
          <w:kern w:val="0"/>
          <w:szCs w:val="20"/>
          <w:highlight w:val="none"/>
          <w:lang w:val="en-US" w:eastAsia="zh-CN"/>
        </w:rPr>
        <w:t>4</w:t>
      </w:r>
      <w:r>
        <w:rPr>
          <w:rFonts w:hint="eastAsia" w:ascii="宋体" w:hAnsi="宋体" w:eastAsia="宋体" w:cs="Times New Roman"/>
          <w:color w:val="auto"/>
          <w:kern w:val="0"/>
          <w:szCs w:val="20"/>
          <w:highlight w:val="none"/>
        </w:rPr>
        <w:t>：投标承诺</w:t>
      </w:r>
    </w:p>
    <w:p w14:paraId="069FD3AF">
      <w:pPr>
        <w:snapToGrid w:val="0"/>
        <w:spacing w:line="360" w:lineRule="auto"/>
        <w:jc w:val="left"/>
        <w:rPr>
          <w:rFonts w:ascii="宋体" w:hAnsi="宋体" w:eastAsia="宋体" w:cs="Times New Roman"/>
          <w:b/>
          <w:color w:val="auto"/>
          <w:kern w:val="0"/>
          <w:szCs w:val="20"/>
          <w:highlight w:val="none"/>
        </w:rPr>
      </w:pPr>
      <w:r>
        <w:rPr>
          <w:rFonts w:hint="eastAsia" w:ascii="宋体" w:hAnsi="宋体" w:eastAsia="宋体" w:cs="Times New Roman"/>
          <w:b/>
          <w:color w:val="auto"/>
          <w:kern w:val="0"/>
          <w:szCs w:val="20"/>
          <w:highlight w:val="none"/>
        </w:rPr>
        <w:t>三、供应商的资格证明资料</w:t>
      </w:r>
    </w:p>
    <w:p w14:paraId="087C4BFD">
      <w:pPr>
        <w:snapToGrid w:val="0"/>
        <w:spacing w:line="360" w:lineRule="auto"/>
        <w:ind w:right="21" w:firstLine="420"/>
        <w:jc w:val="lef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附件</w:t>
      </w:r>
      <w:r>
        <w:rPr>
          <w:rFonts w:hint="eastAsia" w:ascii="宋体" w:hAnsi="宋体" w:cs="Times New Roman"/>
          <w:color w:val="auto"/>
          <w:kern w:val="0"/>
          <w:szCs w:val="20"/>
          <w:highlight w:val="none"/>
          <w:lang w:val="en-US" w:eastAsia="zh-CN"/>
        </w:rPr>
        <w:t>5</w:t>
      </w:r>
      <w:r>
        <w:rPr>
          <w:rFonts w:hint="eastAsia" w:ascii="宋体" w:hAnsi="宋体" w:eastAsia="宋体" w:cs="Times New Roman"/>
          <w:color w:val="auto"/>
          <w:kern w:val="0"/>
          <w:szCs w:val="20"/>
          <w:highlight w:val="none"/>
        </w:rPr>
        <w:t>：供应商基本情况表</w:t>
      </w:r>
    </w:p>
    <w:p w14:paraId="77CCAE33">
      <w:pPr>
        <w:snapToGrid w:val="0"/>
        <w:spacing w:line="360" w:lineRule="auto"/>
        <w:ind w:right="21" w:firstLine="420"/>
        <w:jc w:val="lef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附件</w:t>
      </w:r>
      <w:r>
        <w:rPr>
          <w:rFonts w:hint="eastAsia" w:ascii="宋体" w:hAnsi="宋体" w:cs="Times New Roman"/>
          <w:color w:val="auto"/>
          <w:kern w:val="0"/>
          <w:szCs w:val="20"/>
          <w:highlight w:val="none"/>
          <w:lang w:val="en-US" w:eastAsia="zh-CN"/>
        </w:rPr>
        <w:t>5</w:t>
      </w:r>
      <w:r>
        <w:rPr>
          <w:rFonts w:hint="eastAsia" w:ascii="宋体" w:hAnsi="宋体" w:eastAsia="宋体" w:cs="Times New Roman"/>
          <w:color w:val="auto"/>
          <w:kern w:val="0"/>
          <w:szCs w:val="20"/>
          <w:highlight w:val="none"/>
        </w:rPr>
        <w:t>-1：磋商文件规定的基本资格条件证明资料</w:t>
      </w:r>
    </w:p>
    <w:p w14:paraId="676C0420">
      <w:pPr>
        <w:snapToGrid w:val="0"/>
        <w:spacing w:line="360" w:lineRule="auto"/>
        <w:ind w:right="21" w:firstLine="420"/>
        <w:jc w:val="lef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附件</w:t>
      </w:r>
      <w:r>
        <w:rPr>
          <w:rFonts w:hint="eastAsia" w:ascii="宋体" w:hAnsi="宋体" w:cs="Times New Roman"/>
          <w:color w:val="auto"/>
          <w:kern w:val="0"/>
          <w:szCs w:val="20"/>
          <w:highlight w:val="none"/>
          <w:lang w:val="en-US" w:eastAsia="zh-CN"/>
        </w:rPr>
        <w:t>5</w:t>
      </w:r>
      <w:r>
        <w:rPr>
          <w:rFonts w:hint="eastAsia" w:ascii="宋体" w:hAnsi="宋体" w:eastAsia="宋体" w:cs="Times New Roman"/>
          <w:color w:val="auto"/>
          <w:kern w:val="0"/>
          <w:szCs w:val="20"/>
          <w:highlight w:val="none"/>
        </w:rPr>
        <w:t>-2：湖南省政府采购供应商资格承诺函</w:t>
      </w:r>
    </w:p>
    <w:p w14:paraId="57CF6B86">
      <w:pPr>
        <w:snapToGrid w:val="0"/>
        <w:spacing w:line="360" w:lineRule="auto"/>
        <w:ind w:right="21" w:firstLine="420"/>
        <w:jc w:val="lef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附件</w:t>
      </w:r>
      <w:r>
        <w:rPr>
          <w:rFonts w:hint="eastAsia" w:ascii="宋体" w:hAnsi="宋体" w:cs="Times New Roman"/>
          <w:color w:val="auto"/>
          <w:kern w:val="0"/>
          <w:szCs w:val="20"/>
          <w:highlight w:val="none"/>
          <w:lang w:val="en-US" w:eastAsia="zh-CN"/>
        </w:rPr>
        <w:t>5</w:t>
      </w:r>
      <w:r>
        <w:rPr>
          <w:rFonts w:hint="eastAsia" w:ascii="宋体" w:hAnsi="宋体" w:eastAsia="宋体" w:cs="Times New Roman"/>
          <w:color w:val="auto"/>
          <w:kern w:val="0"/>
          <w:szCs w:val="20"/>
          <w:highlight w:val="none"/>
        </w:rPr>
        <w:t>-3：磋商文件规定的特定资格条件证明资料</w:t>
      </w:r>
    </w:p>
    <w:p w14:paraId="425821DF">
      <w:pPr>
        <w:snapToGrid w:val="0"/>
        <w:spacing w:line="360" w:lineRule="auto"/>
        <w:ind w:right="21" w:firstLine="420"/>
        <w:jc w:val="lef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附件</w:t>
      </w:r>
      <w:r>
        <w:rPr>
          <w:rFonts w:hint="eastAsia" w:ascii="宋体" w:hAnsi="宋体" w:cs="Times New Roman"/>
          <w:color w:val="auto"/>
          <w:kern w:val="0"/>
          <w:szCs w:val="20"/>
          <w:highlight w:val="none"/>
          <w:lang w:val="en-US" w:eastAsia="zh-CN"/>
        </w:rPr>
        <w:t>5</w:t>
      </w:r>
      <w:r>
        <w:rPr>
          <w:rFonts w:hint="eastAsia" w:ascii="宋体" w:hAnsi="宋体" w:eastAsia="宋体" w:cs="Times New Roman"/>
          <w:color w:val="auto"/>
          <w:kern w:val="0"/>
          <w:szCs w:val="20"/>
          <w:highlight w:val="none"/>
        </w:rPr>
        <w:t>-4：参加政府采购活动前三年内在经营活动中没有重大违法记录的书面声明</w:t>
      </w:r>
    </w:p>
    <w:p w14:paraId="6196DD17">
      <w:pPr>
        <w:tabs>
          <w:tab w:val="center" w:pos="4422"/>
        </w:tabs>
        <w:snapToGrid w:val="0"/>
        <w:spacing w:line="360" w:lineRule="auto"/>
        <w:ind w:right="21" w:firstLine="420"/>
        <w:jc w:val="left"/>
        <w:rPr>
          <w:rFonts w:ascii="Times New Roman" w:hAnsi="Times New Roman" w:eastAsia="宋体" w:cs="Times New Roman"/>
          <w:color w:val="auto"/>
          <w:kern w:val="0"/>
          <w:szCs w:val="20"/>
          <w:highlight w:val="none"/>
        </w:rPr>
      </w:pPr>
      <w:r>
        <w:rPr>
          <w:rFonts w:hint="eastAsia" w:ascii="宋体" w:hAnsi="宋体" w:eastAsia="宋体" w:cs="Times New Roman"/>
          <w:color w:val="auto"/>
          <w:kern w:val="0"/>
          <w:szCs w:val="20"/>
          <w:highlight w:val="none"/>
        </w:rPr>
        <w:t>附件</w:t>
      </w:r>
      <w:r>
        <w:rPr>
          <w:rFonts w:hint="eastAsia" w:ascii="宋体" w:hAnsi="宋体" w:cs="Times New Roman"/>
          <w:color w:val="auto"/>
          <w:kern w:val="0"/>
          <w:szCs w:val="20"/>
          <w:highlight w:val="none"/>
          <w:lang w:val="en-US" w:eastAsia="zh-CN"/>
        </w:rPr>
        <w:t>5</w:t>
      </w:r>
      <w:r>
        <w:rPr>
          <w:rFonts w:hint="eastAsia" w:ascii="宋体" w:hAnsi="宋体" w:eastAsia="宋体" w:cs="Times New Roman"/>
          <w:color w:val="auto"/>
          <w:kern w:val="0"/>
          <w:szCs w:val="20"/>
          <w:highlight w:val="none"/>
        </w:rPr>
        <w:t>-5：其他证明资料或说明</w:t>
      </w:r>
      <w:r>
        <w:rPr>
          <w:rFonts w:hint="eastAsia" w:ascii="宋体" w:hAnsi="宋体" w:eastAsia="宋体" w:cs="Times New Roman"/>
          <w:color w:val="auto"/>
          <w:kern w:val="0"/>
          <w:szCs w:val="20"/>
          <w:highlight w:val="none"/>
        </w:rPr>
        <w:tab/>
      </w:r>
    </w:p>
    <w:p w14:paraId="3C64C365">
      <w:pPr>
        <w:snapToGrid w:val="0"/>
        <w:spacing w:line="360" w:lineRule="auto"/>
        <w:rPr>
          <w:rFonts w:ascii="宋体" w:hAnsi="宋体" w:eastAsia="宋体" w:cs="Times New Roman"/>
          <w:b/>
          <w:color w:val="auto"/>
          <w:kern w:val="0"/>
          <w:szCs w:val="20"/>
          <w:highlight w:val="none"/>
        </w:rPr>
      </w:pPr>
      <w:r>
        <w:rPr>
          <w:rFonts w:ascii="宋体" w:hAnsi="宋体" w:eastAsia="宋体" w:cs="Times New Roman"/>
          <w:b/>
          <w:color w:val="auto"/>
          <w:kern w:val="0"/>
          <w:szCs w:val="20"/>
          <w:highlight w:val="none"/>
        </w:rPr>
        <w:t>四、</w:t>
      </w:r>
      <w:r>
        <w:rPr>
          <w:rFonts w:hint="eastAsia" w:ascii="宋体" w:hAnsi="宋体" w:eastAsia="宋体" w:cs="Times New Roman"/>
          <w:b/>
          <w:color w:val="auto"/>
          <w:kern w:val="0"/>
          <w:szCs w:val="20"/>
          <w:highlight w:val="none"/>
        </w:rPr>
        <w:t>技术部分</w:t>
      </w:r>
    </w:p>
    <w:p w14:paraId="070E26A1">
      <w:pPr>
        <w:snapToGrid w:val="0"/>
        <w:spacing w:line="360" w:lineRule="auto"/>
        <w:ind w:right="21" w:firstLine="420"/>
        <w:jc w:val="lef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附件</w:t>
      </w:r>
      <w:r>
        <w:rPr>
          <w:rFonts w:hint="eastAsia" w:ascii="宋体" w:hAnsi="宋体" w:cs="Times New Roman"/>
          <w:color w:val="auto"/>
          <w:kern w:val="0"/>
          <w:szCs w:val="20"/>
          <w:highlight w:val="none"/>
          <w:lang w:val="en-US" w:eastAsia="zh-CN"/>
        </w:rPr>
        <w:t>6</w:t>
      </w:r>
      <w:r>
        <w:rPr>
          <w:rFonts w:hint="eastAsia" w:ascii="宋体" w:hAnsi="宋体" w:eastAsia="宋体" w:cs="Times New Roman"/>
          <w:color w:val="auto"/>
          <w:kern w:val="0"/>
          <w:szCs w:val="20"/>
          <w:highlight w:val="none"/>
        </w:rPr>
        <w:t>：施工方案</w:t>
      </w:r>
    </w:p>
    <w:p w14:paraId="420A2DC8">
      <w:pPr>
        <w:snapToGrid w:val="0"/>
        <w:spacing w:line="360" w:lineRule="auto"/>
        <w:ind w:right="21" w:firstLine="420"/>
        <w:jc w:val="lef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附件</w:t>
      </w:r>
      <w:r>
        <w:rPr>
          <w:rFonts w:hint="eastAsia" w:ascii="宋体" w:hAnsi="宋体" w:cs="Times New Roman"/>
          <w:color w:val="auto"/>
          <w:kern w:val="0"/>
          <w:szCs w:val="20"/>
          <w:highlight w:val="none"/>
          <w:lang w:val="en-US" w:eastAsia="zh-CN"/>
        </w:rPr>
        <w:t>7</w:t>
      </w:r>
      <w:r>
        <w:rPr>
          <w:rFonts w:hint="eastAsia" w:ascii="宋体" w:hAnsi="宋体" w:eastAsia="宋体" w:cs="Times New Roman"/>
          <w:color w:val="auto"/>
          <w:kern w:val="0"/>
          <w:szCs w:val="20"/>
          <w:highlight w:val="none"/>
        </w:rPr>
        <w:t>：主要人员简历表</w:t>
      </w:r>
    </w:p>
    <w:p w14:paraId="1DD07F4C">
      <w:pPr>
        <w:snapToGrid w:val="0"/>
        <w:spacing w:line="360" w:lineRule="auto"/>
        <w:rPr>
          <w:rFonts w:ascii="宋体" w:hAnsi="宋体" w:eastAsia="宋体" w:cs="Times New Roman"/>
          <w:b/>
          <w:color w:val="auto"/>
          <w:kern w:val="0"/>
          <w:szCs w:val="20"/>
          <w:highlight w:val="none"/>
        </w:rPr>
      </w:pPr>
      <w:r>
        <w:rPr>
          <w:rFonts w:hint="eastAsia" w:ascii="宋体" w:hAnsi="宋体" w:eastAsia="宋体" w:cs="Times New Roman"/>
          <w:b/>
          <w:color w:val="auto"/>
          <w:kern w:val="0"/>
          <w:szCs w:val="20"/>
          <w:highlight w:val="none"/>
        </w:rPr>
        <w:t>五、技术/商务响应与偏离表</w:t>
      </w:r>
    </w:p>
    <w:p w14:paraId="72086F5E">
      <w:pPr>
        <w:snapToGrid w:val="0"/>
        <w:spacing w:line="360" w:lineRule="auto"/>
        <w:rPr>
          <w:rFonts w:ascii="宋体" w:hAnsi="宋体" w:eastAsia="宋体" w:cs="Times New Roman"/>
          <w:b/>
          <w:color w:val="auto"/>
          <w:kern w:val="0"/>
          <w:szCs w:val="20"/>
          <w:highlight w:val="none"/>
        </w:rPr>
      </w:pPr>
      <w:r>
        <w:rPr>
          <w:rFonts w:ascii="宋体" w:hAnsi="宋体" w:eastAsia="宋体" w:cs="Times New Roman"/>
          <w:b/>
          <w:color w:val="auto"/>
          <w:kern w:val="0"/>
          <w:szCs w:val="20"/>
          <w:highlight w:val="none"/>
        </w:rPr>
        <w:t>六、提供政府采购政策产品等证明材料</w:t>
      </w:r>
    </w:p>
    <w:p w14:paraId="4DB7440C">
      <w:pPr>
        <w:snapToGrid w:val="0"/>
        <w:spacing w:line="360" w:lineRule="auto"/>
        <w:ind w:right="21" w:firstLine="420"/>
        <w:jc w:val="lef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附件</w:t>
      </w:r>
      <w:r>
        <w:rPr>
          <w:rFonts w:hint="eastAsia" w:ascii="宋体" w:hAnsi="宋体" w:cs="Times New Roman"/>
          <w:color w:val="auto"/>
          <w:kern w:val="0"/>
          <w:szCs w:val="20"/>
          <w:highlight w:val="none"/>
          <w:lang w:val="en-US" w:eastAsia="zh-CN"/>
        </w:rPr>
        <w:t>8</w:t>
      </w:r>
      <w:r>
        <w:rPr>
          <w:rFonts w:hint="eastAsia" w:ascii="宋体" w:hAnsi="宋体" w:eastAsia="宋体" w:cs="Times New Roman"/>
          <w:color w:val="auto"/>
          <w:kern w:val="0"/>
          <w:szCs w:val="20"/>
          <w:highlight w:val="none"/>
        </w:rPr>
        <w:t>：中小企业声明函</w:t>
      </w:r>
    </w:p>
    <w:p w14:paraId="23756F3D">
      <w:pPr>
        <w:snapToGrid w:val="0"/>
        <w:spacing w:line="360" w:lineRule="auto"/>
        <w:ind w:right="21" w:firstLine="420"/>
        <w:jc w:val="lef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附件</w:t>
      </w:r>
      <w:r>
        <w:rPr>
          <w:rFonts w:hint="eastAsia" w:ascii="宋体" w:hAnsi="宋体" w:cs="Times New Roman"/>
          <w:color w:val="auto"/>
          <w:kern w:val="0"/>
          <w:szCs w:val="20"/>
          <w:highlight w:val="none"/>
          <w:lang w:val="en-US" w:eastAsia="zh-CN"/>
        </w:rPr>
        <w:t>8</w:t>
      </w:r>
      <w:r>
        <w:rPr>
          <w:rFonts w:hint="eastAsia" w:ascii="宋体" w:hAnsi="宋体" w:eastAsia="宋体" w:cs="Times New Roman"/>
          <w:color w:val="auto"/>
          <w:kern w:val="0"/>
          <w:szCs w:val="20"/>
          <w:highlight w:val="none"/>
        </w:rPr>
        <w:t>-1：残疾人福利性单位声明函</w:t>
      </w:r>
    </w:p>
    <w:p w14:paraId="5C4E6570">
      <w:pPr>
        <w:snapToGrid w:val="0"/>
        <w:spacing w:line="360" w:lineRule="auto"/>
        <w:ind w:right="21" w:firstLine="420"/>
        <w:jc w:val="left"/>
        <w:rPr>
          <w:rFonts w:ascii="Times New Roman" w:hAnsi="Times New Roman" w:eastAsia="宋体" w:cs="Times New Roman"/>
          <w:color w:val="auto"/>
          <w:kern w:val="0"/>
          <w:szCs w:val="20"/>
          <w:highlight w:val="none"/>
        </w:rPr>
      </w:pPr>
      <w:r>
        <w:rPr>
          <w:rFonts w:hint="eastAsia" w:ascii="宋体" w:hAnsi="宋体" w:eastAsia="宋体" w:cs="Times New Roman"/>
          <w:color w:val="auto"/>
          <w:kern w:val="0"/>
          <w:szCs w:val="20"/>
          <w:highlight w:val="none"/>
        </w:rPr>
        <w:t>附件</w:t>
      </w:r>
      <w:r>
        <w:rPr>
          <w:rFonts w:hint="eastAsia" w:ascii="宋体" w:hAnsi="宋体" w:cs="Times New Roman"/>
          <w:color w:val="auto"/>
          <w:kern w:val="0"/>
          <w:szCs w:val="20"/>
          <w:highlight w:val="none"/>
          <w:lang w:val="en-US" w:eastAsia="zh-CN"/>
        </w:rPr>
        <w:t>8</w:t>
      </w:r>
      <w:r>
        <w:rPr>
          <w:rFonts w:hint="eastAsia" w:ascii="宋体" w:hAnsi="宋体" w:eastAsia="宋体" w:cs="Times New Roman"/>
          <w:color w:val="auto"/>
          <w:kern w:val="0"/>
          <w:szCs w:val="20"/>
          <w:highlight w:val="none"/>
        </w:rPr>
        <w:t>-2：监狱企业证明资料</w:t>
      </w:r>
    </w:p>
    <w:p w14:paraId="780EFAD9">
      <w:pPr>
        <w:snapToGrid w:val="0"/>
        <w:spacing w:line="360" w:lineRule="auto"/>
        <w:rPr>
          <w:rFonts w:ascii="宋体" w:hAnsi="宋体" w:eastAsia="宋体" w:cs="Times New Roman"/>
          <w:b/>
          <w:color w:val="auto"/>
          <w:kern w:val="0"/>
          <w:szCs w:val="20"/>
          <w:highlight w:val="none"/>
        </w:rPr>
      </w:pPr>
      <w:r>
        <w:rPr>
          <w:rFonts w:ascii="宋体" w:hAnsi="宋体" w:eastAsia="宋体" w:cs="Times New Roman"/>
          <w:b/>
          <w:color w:val="auto"/>
          <w:kern w:val="0"/>
          <w:szCs w:val="20"/>
          <w:highlight w:val="none"/>
        </w:rPr>
        <w:t>七、报价一览表及报价文件</w:t>
      </w:r>
    </w:p>
    <w:p w14:paraId="3B5AD040">
      <w:pPr>
        <w:snapToGrid w:val="0"/>
        <w:spacing w:line="360" w:lineRule="auto"/>
        <w:ind w:right="21" w:firstLine="420"/>
        <w:jc w:val="lef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（一）报价一览表</w:t>
      </w:r>
    </w:p>
    <w:p w14:paraId="2109FB54">
      <w:pPr>
        <w:snapToGrid w:val="0"/>
        <w:spacing w:line="360" w:lineRule="auto"/>
        <w:ind w:right="21" w:firstLine="420"/>
        <w:jc w:val="lef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（二）报价文件</w:t>
      </w:r>
    </w:p>
    <w:p w14:paraId="53FDEDB4">
      <w:pPr>
        <w:snapToGrid w:val="0"/>
        <w:spacing w:line="360" w:lineRule="auto"/>
        <w:rPr>
          <w:rFonts w:ascii="宋体" w:hAnsi="宋体" w:eastAsia="宋体" w:cs="Times New Roman"/>
          <w:b/>
          <w:color w:val="auto"/>
          <w:kern w:val="0"/>
          <w:szCs w:val="20"/>
          <w:highlight w:val="none"/>
        </w:rPr>
      </w:pPr>
      <w:r>
        <w:rPr>
          <w:rFonts w:ascii="宋体" w:hAnsi="宋体" w:eastAsia="宋体" w:cs="Times New Roman"/>
          <w:b/>
          <w:color w:val="auto"/>
          <w:kern w:val="0"/>
          <w:szCs w:val="20"/>
          <w:highlight w:val="none"/>
        </w:rPr>
        <w:t>八、供应商认为需要提供的其它资料</w:t>
      </w:r>
    </w:p>
    <w:p w14:paraId="75D0B910">
      <w:pPr>
        <w:snapToGrid w:val="0"/>
        <w:spacing w:line="360" w:lineRule="auto"/>
        <w:rPr>
          <w:rFonts w:ascii="宋体" w:hAnsi="宋体" w:eastAsia="宋体" w:cs="Times New Roman"/>
          <w:b/>
          <w:color w:val="auto"/>
          <w:kern w:val="0"/>
          <w:szCs w:val="20"/>
          <w:highlight w:val="none"/>
        </w:rPr>
      </w:pPr>
      <w:r>
        <w:rPr>
          <w:rFonts w:ascii="宋体" w:hAnsi="宋体" w:eastAsia="宋体" w:cs="Times New Roman"/>
          <w:b/>
          <w:color w:val="auto"/>
          <w:kern w:val="0"/>
          <w:szCs w:val="20"/>
          <w:highlight w:val="none"/>
        </w:rPr>
        <w:t>九、最后报价</w:t>
      </w:r>
    </w:p>
    <w:p w14:paraId="6A38BFBE">
      <w:pPr>
        <w:snapToGrid w:val="0"/>
        <w:spacing w:line="360" w:lineRule="auto"/>
        <w:jc w:val="center"/>
        <w:rPr>
          <w:rFonts w:ascii="宋体" w:hAnsi="宋体" w:eastAsia="宋体" w:cs="Times New Roman"/>
          <w:b/>
          <w:color w:val="auto"/>
          <w:kern w:val="0"/>
          <w:sz w:val="32"/>
          <w:szCs w:val="20"/>
          <w:highlight w:val="none"/>
        </w:rPr>
      </w:pPr>
      <w:r>
        <w:rPr>
          <w:rFonts w:ascii="宋体" w:hAnsi="宋体" w:eastAsia="宋体" w:cs="Times New Roman"/>
          <w:color w:val="auto"/>
          <w:kern w:val="0"/>
          <w:szCs w:val="20"/>
          <w:highlight w:val="none"/>
        </w:rPr>
        <w:br w:type="page"/>
      </w:r>
      <w:r>
        <w:rPr>
          <w:rFonts w:hint="eastAsia" w:ascii="宋体" w:hAnsi="宋体" w:eastAsia="宋体" w:cs="Times New Roman"/>
          <w:b/>
          <w:color w:val="auto"/>
          <w:kern w:val="0"/>
          <w:sz w:val="32"/>
          <w:szCs w:val="20"/>
          <w:highlight w:val="none"/>
        </w:rPr>
        <w:t>一、磋商响应声明</w:t>
      </w:r>
    </w:p>
    <w:p w14:paraId="2C9CEF26">
      <w:pPr>
        <w:snapToGrid w:val="0"/>
        <w:spacing w:line="360" w:lineRule="atLeas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致</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 xml:space="preserve"> (采购人或采购代理机构)：</w:t>
      </w:r>
    </w:p>
    <w:p w14:paraId="436DFB30">
      <w:pPr>
        <w:snapToGrid w:val="0"/>
        <w:spacing w:line="360" w:lineRule="atLeast"/>
        <w:ind w:firstLine="420"/>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我方已仔细研究了</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项目名称)的竞争性磋商文件（采购编号：</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 xml:space="preserve"> ；</w:t>
      </w:r>
      <w:r>
        <w:rPr>
          <w:rFonts w:hint="eastAsia" w:ascii="宋体" w:hAnsi="宋体" w:eastAsia="宋体" w:cs="Times New Roman"/>
          <w:color w:val="auto"/>
          <w:kern w:val="0"/>
          <w:szCs w:val="20"/>
          <w:highlight w:val="none"/>
          <w:lang w:val="en-US" w:eastAsia="zh-CN"/>
        </w:rPr>
        <w:t>委托</w:t>
      </w:r>
      <w:r>
        <w:rPr>
          <w:rFonts w:hint="eastAsia" w:ascii="宋体" w:hAnsi="宋体" w:eastAsia="宋体" w:cs="Times New Roman"/>
          <w:color w:val="auto"/>
          <w:kern w:val="0"/>
          <w:szCs w:val="20"/>
          <w:highlight w:val="none"/>
        </w:rPr>
        <w:t>代理编号：</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）的全部内容，知悉参加竞争性磋商的风险，我方承诺接受磋商文件的全部条款且无任何异议。</w:t>
      </w:r>
    </w:p>
    <w:p w14:paraId="0806C37A">
      <w:pPr>
        <w:snapToGrid w:val="0"/>
        <w:spacing w:line="360" w:lineRule="atLeast"/>
        <w:ind w:firstLine="420"/>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t>一、我方同意在磋商文件中规定的提交首次响应文件截止时间起</w:t>
      </w:r>
      <w:r>
        <w:rPr>
          <w:rFonts w:ascii="宋体" w:hAnsi="宋体" w:eastAsia="宋体" w:cs="Times New Roman"/>
          <w:color w:val="auto"/>
          <w:kern w:val="0"/>
          <w:szCs w:val="20"/>
          <w:highlight w:val="none"/>
          <w:u w:val="single"/>
        </w:rPr>
        <w:t xml:space="preserve">    </w:t>
      </w:r>
      <w:r>
        <w:rPr>
          <w:rFonts w:ascii="宋体" w:hAnsi="宋体" w:eastAsia="宋体" w:cs="Times New Roman"/>
          <w:color w:val="auto"/>
          <w:kern w:val="0"/>
          <w:szCs w:val="20"/>
          <w:highlight w:val="none"/>
        </w:rPr>
        <w:t>日内(响应文件有效期)遵守本响应文件中的承诺且在此期限期满之前均具有法律约束力。</w:t>
      </w:r>
    </w:p>
    <w:p w14:paraId="7B85ABB1">
      <w:pPr>
        <w:snapToGrid w:val="0"/>
        <w:spacing w:line="360" w:lineRule="atLeast"/>
        <w:ind w:firstLine="420"/>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t>二、我方提交响应文件正本一份和副本一式</w:t>
      </w:r>
      <w:r>
        <w:rPr>
          <w:rFonts w:ascii="宋体" w:hAnsi="宋体" w:eastAsia="宋体" w:cs="Times New Roman"/>
          <w:color w:val="auto"/>
          <w:kern w:val="0"/>
          <w:szCs w:val="20"/>
          <w:highlight w:val="none"/>
          <w:u w:val="single"/>
        </w:rPr>
        <w:t xml:space="preserve">     </w:t>
      </w:r>
      <w:r>
        <w:rPr>
          <w:rFonts w:ascii="宋体" w:hAnsi="宋体" w:eastAsia="宋体" w:cs="Times New Roman"/>
          <w:color w:val="auto"/>
          <w:kern w:val="0"/>
          <w:szCs w:val="20"/>
          <w:highlight w:val="none"/>
        </w:rPr>
        <w:t>份，并保证响应文件提供的数据和资料全部内容真实、合法、准确和完整，我们对此负责，并愿承担由此引起的法律责任。</w:t>
      </w:r>
    </w:p>
    <w:p w14:paraId="5263DCAA">
      <w:pPr>
        <w:snapToGrid w:val="0"/>
        <w:spacing w:line="360" w:lineRule="atLeast"/>
        <w:ind w:firstLine="420"/>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t>三、我方愿意向贵方提供任何与本项采购有关的数据、情况和技术资料。若贵方需要，我方愿意提供我方作出的一切承诺的证明资料。</w:t>
      </w:r>
    </w:p>
    <w:p w14:paraId="471CDF55">
      <w:pPr>
        <w:snapToGrid w:val="0"/>
        <w:spacing w:line="360" w:lineRule="atLeast"/>
        <w:ind w:firstLine="420"/>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t>四、我方愿意按磋商文件规定和磋商小组要求重新提交响应文件和最后报价。</w:t>
      </w:r>
    </w:p>
    <w:p w14:paraId="4F5CD48A">
      <w:pPr>
        <w:snapToGrid w:val="0"/>
        <w:spacing w:line="360" w:lineRule="atLeast"/>
        <w:ind w:firstLine="420"/>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t>五、我方承诺遵守《中华人民共和国政府采购法》的有关规定，保证在获得成交资格后，按照磋商文件确定的事项签订政府采购合同，履行双方所签订的合同，并承担合同规定的责任和义务。</w:t>
      </w:r>
    </w:p>
    <w:p w14:paraId="03A8B02C">
      <w:pPr>
        <w:snapToGrid w:val="0"/>
        <w:spacing w:line="360" w:lineRule="atLeast"/>
        <w:ind w:firstLine="420"/>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t xml:space="preserve">六、我方在此声明： </w:t>
      </w:r>
    </w:p>
    <w:p w14:paraId="17BE0E4C">
      <w:pPr>
        <w:snapToGrid w:val="0"/>
        <w:spacing w:line="360" w:lineRule="atLeast"/>
        <w:ind w:firstLine="420"/>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t>（一）我方与采购人或采购代理机构不存在隶属关系或者其他利害关系。</w:t>
      </w:r>
    </w:p>
    <w:p w14:paraId="52876614">
      <w:pPr>
        <w:snapToGrid w:val="0"/>
        <w:spacing w:line="360" w:lineRule="atLeast"/>
        <w:ind w:firstLine="420"/>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t>（二）我方与参加本项目的其他供应商不存在直接控股、管理关系，或者与其他供应商法定代表人（或者负责人）为同一人。</w:t>
      </w:r>
    </w:p>
    <w:p w14:paraId="28D490A9">
      <w:pPr>
        <w:snapToGrid w:val="0"/>
        <w:spacing w:line="360" w:lineRule="atLeast"/>
        <w:ind w:firstLine="420"/>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t>（三）我方未为本项目前期准备提供设计或咨询服务。</w:t>
      </w:r>
    </w:p>
    <w:p w14:paraId="14DD60F7">
      <w:pPr>
        <w:snapToGrid w:val="0"/>
        <w:spacing w:line="360" w:lineRule="atLeast"/>
        <w:ind w:firstLine="420"/>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t>（四）我方承诺（承诺期：成立三年以上的，为提交首次响应文件截止时间前三年内；成立不足三年的，为实际时间）：</w:t>
      </w:r>
    </w:p>
    <w:p w14:paraId="14191828">
      <w:pPr>
        <w:snapToGrid w:val="0"/>
        <w:spacing w:line="360" w:lineRule="atLeast"/>
        <w:ind w:firstLine="420"/>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t>1、我方依法缴纳了各项税费及各项社会保障资金，没有偷税、漏税及欠缴行为。</w:t>
      </w:r>
    </w:p>
    <w:p w14:paraId="35B08EA0">
      <w:pPr>
        <w:snapToGrid w:val="0"/>
        <w:spacing w:line="360" w:lineRule="atLeast"/>
        <w:ind w:firstLine="420"/>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t>2、我方在经营活动中没有存在下列重大违法记录：</w:t>
      </w:r>
    </w:p>
    <w:p w14:paraId="5C78C3A8">
      <w:pPr>
        <w:snapToGrid w:val="0"/>
        <w:spacing w:line="360" w:lineRule="atLeast"/>
        <w:ind w:firstLine="420"/>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t>(1)受到刑事处罚；</w:t>
      </w:r>
    </w:p>
    <w:p w14:paraId="0CACC76A">
      <w:pPr>
        <w:snapToGrid w:val="0"/>
        <w:spacing w:line="360" w:lineRule="atLeast"/>
        <w:ind w:firstLine="420"/>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t>(2)受到</w:t>
      </w:r>
      <w:r>
        <w:rPr>
          <w:rFonts w:hint="eastAsia" w:ascii="宋体" w:hAnsi="宋体" w:eastAsia="宋体" w:cs="Times New Roman"/>
          <w:color w:val="auto"/>
          <w:kern w:val="0"/>
          <w:szCs w:val="20"/>
          <w:highlight w:val="none"/>
        </w:rPr>
        <w:t>200万元</w:t>
      </w:r>
      <w:r>
        <w:rPr>
          <w:rFonts w:ascii="宋体" w:hAnsi="宋体" w:eastAsia="宋体" w:cs="Times New Roman"/>
          <w:color w:val="auto"/>
          <w:kern w:val="0"/>
          <w:szCs w:val="20"/>
          <w:highlight w:val="none"/>
        </w:rPr>
        <w:t>以上的罚款、责令停产停业、在一至三年内禁止参加政府采购活动、暂扣或者吊销许可证、暂扣或者吊销执照的行政处罚。</w:t>
      </w:r>
    </w:p>
    <w:p w14:paraId="70073F3B">
      <w:pPr>
        <w:widowControl w:val="0"/>
        <w:ind w:left="0" w:firstLine="420" w:firstLineChars="200"/>
        <w:jc w:val="both"/>
        <w:rPr>
          <w:rFonts w:ascii="Calibri" w:hAnsi="Times New Roman" w:eastAsia="宋体" w:cs="Times New Roman"/>
          <w:b/>
          <w:bCs/>
          <w:color w:val="auto"/>
          <w:sz w:val="21"/>
          <w:highlight w:val="none"/>
          <w:lang w:val="en-US" w:eastAsia="zh-CN" w:bidi="ar-SA"/>
        </w:rPr>
      </w:pPr>
      <w:r>
        <w:rPr>
          <w:rFonts w:hint="eastAsia" w:ascii="宋体" w:hAnsi="宋体" w:eastAsia="宋体" w:cs="Times New Roman"/>
          <w:color w:val="auto"/>
          <w:sz w:val="21"/>
          <w:highlight w:val="none"/>
          <w:lang w:val="en-US" w:eastAsia="zh-CN" w:bidi="ar-SA"/>
        </w:rPr>
        <w:t>（五）我方承诺：</w:t>
      </w:r>
      <w:r>
        <w:rPr>
          <w:rFonts w:hint="eastAsia" w:ascii="宋体" w:hAnsi="宋体" w:eastAsia="宋体" w:cs="Times New Roman"/>
          <w:b/>
          <w:bCs/>
          <w:color w:val="auto"/>
          <w:sz w:val="21"/>
          <w:highlight w:val="none"/>
          <w:lang w:val="en-US" w:eastAsia="zh-CN" w:bidi="ar-SA"/>
        </w:rPr>
        <w:t>根据湘建建﹝2020﹞208号文件的要求，供应商须在响应文件的磋商响应声明中提供施工项目部关键岗位人员配备（至少</w:t>
      </w:r>
      <w:r>
        <w:rPr>
          <w:rFonts w:hint="eastAsia" w:ascii="宋体" w:hAnsi="宋体" w:cs="Times New Roman"/>
          <w:b/>
          <w:bCs/>
          <w:color w:val="auto"/>
          <w:sz w:val="21"/>
          <w:highlight w:val="none"/>
          <w:lang w:val="en-US" w:eastAsia="zh-CN" w:bidi="ar-SA"/>
        </w:rPr>
        <w:t>3</w:t>
      </w:r>
      <w:r>
        <w:rPr>
          <w:rFonts w:hint="eastAsia" w:ascii="宋体" w:hAnsi="宋体" w:eastAsia="宋体" w:cs="Times New Roman"/>
          <w:b/>
          <w:bCs/>
          <w:color w:val="auto"/>
          <w:sz w:val="21"/>
          <w:highlight w:val="none"/>
          <w:lang w:val="en-US" w:eastAsia="zh-CN" w:bidi="ar-SA"/>
        </w:rPr>
        <w:t>人，含项目负责人、施工员1人（可由技术负责人兼任）、安全员1人（综合类），</w:t>
      </w:r>
      <w:r>
        <w:rPr>
          <w:rFonts w:hint="eastAsia" w:ascii="宋体" w:hAnsi="Times New Roman" w:eastAsia="宋体" w:cs="Times New Roman"/>
          <w:b/>
          <w:bCs/>
          <w:color w:val="auto"/>
          <w:sz w:val="21"/>
          <w:highlight w:val="none"/>
          <w:lang w:val="en-US" w:eastAsia="zh-CN" w:bidi="ar-SA"/>
        </w:rPr>
        <w:t>在工程实施时根据项目需要配备到位。</w:t>
      </w:r>
    </w:p>
    <w:p w14:paraId="56BE1F83">
      <w:pPr>
        <w:snapToGrid w:val="0"/>
        <w:spacing w:line="360" w:lineRule="atLeast"/>
        <w:ind w:right="23"/>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附件1：法定代表人身份证明</w:t>
      </w:r>
    </w:p>
    <w:p w14:paraId="560600D5">
      <w:pPr>
        <w:snapToGrid w:val="0"/>
        <w:spacing w:line="360" w:lineRule="atLeast"/>
        <w:ind w:right="23"/>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附件2：法定代表人授权书</w:t>
      </w:r>
    </w:p>
    <w:p w14:paraId="774F76E5">
      <w:pPr>
        <w:snapToGrid w:val="0"/>
        <w:spacing w:line="360" w:lineRule="atLeast"/>
        <w:ind w:right="23"/>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附件3：工程质量保修书</w:t>
      </w:r>
    </w:p>
    <w:p w14:paraId="287988A1">
      <w:pPr>
        <w:snapToGrid w:val="0"/>
        <w:spacing w:line="360" w:lineRule="atLeast"/>
        <w:ind w:right="23"/>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附件4：不拖欠民工工资承诺书</w:t>
      </w:r>
    </w:p>
    <w:p w14:paraId="72D06B19">
      <w:pPr>
        <w:snapToGrid w:val="0"/>
        <w:spacing w:line="360" w:lineRule="atLeast"/>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t>供应商名称(盖单位章)：</w:t>
      </w:r>
    </w:p>
    <w:p w14:paraId="17C80962">
      <w:pPr>
        <w:snapToGrid w:val="0"/>
        <w:spacing w:line="360" w:lineRule="atLeas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法定代表人或其委托代理人 (签字)：</w:t>
      </w:r>
      <w:r>
        <w:rPr>
          <w:rFonts w:hint="eastAsia" w:ascii="宋体" w:hAnsi="宋体" w:eastAsia="宋体" w:cs="Times New Roman"/>
          <w:color w:val="auto"/>
          <w:kern w:val="0"/>
          <w:szCs w:val="20"/>
          <w:highlight w:val="none"/>
          <w:u w:val="single"/>
        </w:rPr>
        <w:t xml:space="preserve">            </w:t>
      </w:r>
    </w:p>
    <w:p w14:paraId="1D04A2C3">
      <w:pPr>
        <w:snapToGrid w:val="0"/>
        <w:spacing w:line="360" w:lineRule="atLeas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日     期：</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年</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月</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日</w:t>
      </w:r>
    </w:p>
    <w:p w14:paraId="031BBB47">
      <w:pPr>
        <w:snapToGrid w:val="0"/>
        <w:spacing w:line="360" w:lineRule="auto"/>
        <w:ind w:right="23"/>
        <w:rPr>
          <w:rFonts w:ascii="宋体" w:hAnsi="宋体" w:eastAsia="宋体" w:cs="Times New Roman"/>
          <w:color w:val="auto"/>
          <w:kern w:val="0"/>
          <w:sz w:val="24"/>
          <w:szCs w:val="20"/>
          <w:highlight w:val="none"/>
        </w:rPr>
      </w:pPr>
      <w:r>
        <w:rPr>
          <w:rFonts w:ascii="宋体" w:hAnsi="宋体" w:eastAsia="宋体" w:cs="Times New Roman"/>
          <w:color w:val="auto"/>
          <w:kern w:val="0"/>
          <w:szCs w:val="20"/>
          <w:highlight w:val="none"/>
        </w:rPr>
        <w:br w:type="page"/>
      </w:r>
      <w:r>
        <w:rPr>
          <w:rFonts w:hint="eastAsia" w:ascii="宋体" w:hAnsi="宋体" w:eastAsia="宋体" w:cs="Times New Roman"/>
          <w:color w:val="auto"/>
          <w:kern w:val="0"/>
          <w:sz w:val="24"/>
          <w:szCs w:val="20"/>
          <w:highlight w:val="none"/>
        </w:rPr>
        <w:t>附件1：</w:t>
      </w:r>
    </w:p>
    <w:p w14:paraId="0022E4DA">
      <w:pPr>
        <w:snapToGrid w:val="0"/>
        <w:spacing w:line="360" w:lineRule="auto"/>
        <w:ind w:right="23"/>
        <w:jc w:val="center"/>
        <w:rPr>
          <w:rFonts w:ascii="宋体" w:hAnsi="宋体" w:eastAsia="宋体" w:cs="Times New Roman"/>
          <w:color w:val="auto"/>
          <w:kern w:val="0"/>
          <w:szCs w:val="20"/>
          <w:highlight w:val="none"/>
        </w:rPr>
      </w:pPr>
      <w:r>
        <w:rPr>
          <w:rFonts w:hint="eastAsia" w:ascii="宋体" w:hAnsi="宋体" w:eastAsia="宋体" w:cs="Times New Roman"/>
          <w:b/>
          <w:color w:val="auto"/>
          <w:kern w:val="0"/>
          <w:sz w:val="28"/>
          <w:szCs w:val="20"/>
          <w:highlight w:val="none"/>
        </w:rPr>
        <w:t>法定代表人身份证明</w:t>
      </w:r>
    </w:p>
    <w:p w14:paraId="3BCA4247">
      <w:pPr>
        <w:autoSpaceDE w:val="0"/>
        <w:autoSpaceDN w:val="0"/>
        <w:snapToGrid w:val="0"/>
        <w:spacing w:before="120" w:line="360" w:lineRule="auto"/>
        <w:ind w:right="23"/>
        <w:jc w:val="lef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供应商名称：</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 xml:space="preserve"> </w:t>
      </w:r>
    </w:p>
    <w:p w14:paraId="30FE419C">
      <w:pPr>
        <w:autoSpaceDE w:val="0"/>
        <w:autoSpaceDN w:val="0"/>
        <w:snapToGrid w:val="0"/>
        <w:spacing w:before="120" w:line="360" w:lineRule="auto"/>
        <w:ind w:right="23"/>
        <w:jc w:val="lef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注册号：</w:t>
      </w:r>
      <w:r>
        <w:rPr>
          <w:rFonts w:hint="eastAsia" w:ascii="宋体" w:hAnsi="宋体" w:eastAsia="宋体" w:cs="Times New Roman"/>
          <w:color w:val="auto"/>
          <w:kern w:val="0"/>
          <w:szCs w:val="20"/>
          <w:highlight w:val="none"/>
          <w:u w:val="single"/>
        </w:rPr>
        <w:t xml:space="preserve">                  </w:t>
      </w:r>
    </w:p>
    <w:p w14:paraId="6580F673">
      <w:pPr>
        <w:autoSpaceDE w:val="0"/>
        <w:autoSpaceDN w:val="0"/>
        <w:snapToGrid w:val="0"/>
        <w:spacing w:before="120" w:line="360" w:lineRule="auto"/>
        <w:ind w:right="23"/>
        <w:jc w:val="lef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注册地址：</w:t>
      </w:r>
      <w:r>
        <w:rPr>
          <w:rFonts w:hint="eastAsia" w:ascii="宋体" w:hAnsi="宋体" w:eastAsia="宋体" w:cs="Times New Roman"/>
          <w:color w:val="auto"/>
          <w:kern w:val="0"/>
          <w:szCs w:val="20"/>
          <w:highlight w:val="none"/>
          <w:u w:val="single"/>
        </w:rPr>
        <w:t xml:space="preserve">                                    </w:t>
      </w:r>
    </w:p>
    <w:p w14:paraId="0370990F">
      <w:pPr>
        <w:autoSpaceDE w:val="0"/>
        <w:autoSpaceDN w:val="0"/>
        <w:snapToGrid w:val="0"/>
        <w:spacing w:before="120" w:line="360" w:lineRule="auto"/>
        <w:ind w:right="23"/>
        <w:jc w:val="lef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 xml:space="preserve">成立时间： </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 xml:space="preserve">年 </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月</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 xml:space="preserve"> 日</w:t>
      </w:r>
    </w:p>
    <w:p w14:paraId="1F518542">
      <w:pPr>
        <w:autoSpaceDE w:val="0"/>
        <w:autoSpaceDN w:val="0"/>
        <w:snapToGrid w:val="0"/>
        <w:spacing w:before="120" w:line="360" w:lineRule="auto"/>
        <w:ind w:right="23"/>
        <w:jc w:val="left"/>
        <w:rPr>
          <w:rFonts w:ascii="宋体" w:hAnsi="宋体" w:eastAsia="宋体" w:cs="Times New Roman"/>
          <w:color w:val="auto"/>
          <w:kern w:val="0"/>
          <w:szCs w:val="20"/>
          <w:highlight w:val="none"/>
          <w:u w:val="single"/>
        </w:rPr>
      </w:pPr>
      <w:r>
        <w:rPr>
          <w:rFonts w:hint="eastAsia" w:ascii="宋体" w:hAnsi="宋体" w:eastAsia="宋体" w:cs="Times New Roman"/>
          <w:color w:val="auto"/>
          <w:kern w:val="0"/>
          <w:szCs w:val="20"/>
          <w:highlight w:val="none"/>
        </w:rPr>
        <w:t>经营期限：</w:t>
      </w:r>
      <w:r>
        <w:rPr>
          <w:rFonts w:hint="eastAsia" w:ascii="宋体" w:hAnsi="宋体" w:eastAsia="宋体" w:cs="Times New Roman"/>
          <w:color w:val="auto"/>
          <w:kern w:val="0"/>
          <w:szCs w:val="20"/>
          <w:highlight w:val="none"/>
          <w:u w:val="single"/>
        </w:rPr>
        <w:t xml:space="preserve">                  </w:t>
      </w:r>
    </w:p>
    <w:p w14:paraId="73DE3E4B">
      <w:pPr>
        <w:autoSpaceDE w:val="0"/>
        <w:autoSpaceDN w:val="0"/>
        <w:snapToGrid w:val="0"/>
        <w:spacing w:before="120" w:line="360" w:lineRule="auto"/>
        <w:ind w:right="23"/>
        <w:jc w:val="left"/>
        <w:rPr>
          <w:rFonts w:ascii="宋体" w:hAnsi="宋体" w:eastAsia="宋体" w:cs="Times New Roman"/>
          <w:color w:val="auto"/>
          <w:kern w:val="0"/>
          <w:szCs w:val="20"/>
          <w:highlight w:val="none"/>
          <w:u w:val="single"/>
        </w:rPr>
      </w:pPr>
      <w:r>
        <w:rPr>
          <w:rFonts w:hint="eastAsia" w:ascii="宋体" w:hAnsi="宋体" w:eastAsia="宋体" w:cs="Times New Roman"/>
          <w:color w:val="auto"/>
          <w:kern w:val="0"/>
          <w:szCs w:val="20"/>
          <w:highlight w:val="none"/>
        </w:rPr>
        <w:t>经营范围：主营：</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 xml:space="preserve"> ；兼营：</w:t>
      </w:r>
      <w:r>
        <w:rPr>
          <w:rFonts w:hint="eastAsia" w:ascii="宋体" w:hAnsi="宋体" w:eastAsia="宋体" w:cs="Times New Roman"/>
          <w:color w:val="auto"/>
          <w:kern w:val="0"/>
          <w:szCs w:val="20"/>
          <w:highlight w:val="none"/>
          <w:u w:val="single"/>
        </w:rPr>
        <w:t xml:space="preserve">              </w:t>
      </w:r>
    </w:p>
    <w:p w14:paraId="14DD0CF4">
      <w:pPr>
        <w:autoSpaceDE w:val="0"/>
        <w:autoSpaceDN w:val="0"/>
        <w:snapToGrid w:val="0"/>
        <w:spacing w:before="120" w:line="360" w:lineRule="auto"/>
        <w:ind w:right="23"/>
        <w:jc w:val="lef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姓名：</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 xml:space="preserve"> 性别：</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 xml:space="preserve"> 年龄：</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 xml:space="preserve"> 系</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（供应商名称）的法定代表人。</w:t>
      </w:r>
    </w:p>
    <w:p w14:paraId="0778DE30">
      <w:pPr>
        <w:autoSpaceDE w:val="0"/>
        <w:autoSpaceDN w:val="0"/>
        <w:snapToGrid w:val="0"/>
        <w:spacing w:before="120" w:line="360" w:lineRule="auto"/>
        <w:ind w:right="23"/>
        <w:jc w:val="lef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特此证明。</w:t>
      </w:r>
    </w:p>
    <w:p w14:paraId="5E4E2490">
      <w:pPr>
        <w:autoSpaceDE w:val="0"/>
        <w:autoSpaceDN w:val="0"/>
        <w:snapToGrid w:val="0"/>
        <w:spacing w:before="120" w:line="360" w:lineRule="auto"/>
        <w:ind w:right="23"/>
        <w:jc w:val="lef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附：法定代表人身份证复印件</w:t>
      </w:r>
    </w:p>
    <w:tbl>
      <w:tblPr>
        <w:tblStyle w:val="26"/>
        <w:tblW w:w="0" w:type="auto"/>
        <w:tblInd w:w="0" w:type="dxa"/>
        <w:tblLayout w:type="fixed"/>
        <w:tblCellMar>
          <w:top w:w="0" w:type="dxa"/>
          <w:left w:w="0" w:type="dxa"/>
          <w:bottom w:w="0" w:type="dxa"/>
          <w:right w:w="0" w:type="dxa"/>
        </w:tblCellMar>
      </w:tblPr>
      <w:tblGrid>
        <w:gridCol w:w="9514"/>
      </w:tblGrid>
      <w:tr w14:paraId="61FC69D7">
        <w:tblPrEx>
          <w:tblCellMar>
            <w:top w:w="0" w:type="dxa"/>
            <w:left w:w="0" w:type="dxa"/>
            <w:bottom w:w="0" w:type="dxa"/>
            <w:right w:w="0" w:type="dxa"/>
          </w:tblCellMar>
        </w:tblPrEx>
        <w:trPr>
          <w:trHeight w:val="3089" w:hRule="atLeast"/>
        </w:trPr>
        <w:tc>
          <w:tcPr>
            <w:tcW w:w="95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01F9408">
            <w:pPr>
              <w:snapToGrid w:val="0"/>
              <w:spacing w:line="360" w:lineRule="auto"/>
              <w:ind w:right="23"/>
              <w:rPr>
                <w:rFonts w:ascii="宋体" w:hAnsi="宋体" w:eastAsia="宋体" w:cs="Times New Roman"/>
                <w:color w:val="auto"/>
                <w:kern w:val="0"/>
                <w:szCs w:val="20"/>
                <w:highlight w:val="none"/>
              </w:rPr>
            </w:pPr>
          </w:p>
        </w:tc>
      </w:tr>
    </w:tbl>
    <w:p w14:paraId="606088CB">
      <w:pPr>
        <w:snapToGrid w:val="0"/>
        <w:spacing w:line="360" w:lineRule="auto"/>
        <w:ind w:right="23"/>
        <w:rPr>
          <w:rFonts w:ascii="宋体" w:hAnsi="宋体" w:eastAsia="宋体" w:cs="Times New Roman"/>
          <w:color w:val="auto"/>
          <w:kern w:val="0"/>
          <w:szCs w:val="20"/>
          <w:highlight w:val="none"/>
        </w:rPr>
      </w:pPr>
    </w:p>
    <w:p w14:paraId="096D6549">
      <w:pPr>
        <w:snapToGrid w:val="0"/>
        <w:spacing w:line="360" w:lineRule="auto"/>
        <w:ind w:right="23"/>
        <w:rPr>
          <w:rFonts w:ascii="宋体" w:hAnsi="宋体" w:eastAsia="宋体" w:cs="Times New Roman"/>
          <w:color w:val="auto"/>
          <w:kern w:val="0"/>
          <w:szCs w:val="20"/>
          <w:highlight w:val="none"/>
        </w:rPr>
      </w:pPr>
    </w:p>
    <w:p w14:paraId="7459ADE0">
      <w:pPr>
        <w:snapToGrid w:val="0"/>
        <w:spacing w:line="360" w:lineRule="auto"/>
        <w:ind w:right="23"/>
        <w:rPr>
          <w:rFonts w:ascii="宋体" w:hAnsi="宋体" w:eastAsia="宋体" w:cs="Times New Roman"/>
          <w:color w:val="auto"/>
          <w:kern w:val="0"/>
          <w:szCs w:val="20"/>
          <w:highlight w:val="none"/>
        </w:rPr>
      </w:pPr>
    </w:p>
    <w:p w14:paraId="0766CEF7">
      <w:pPr>
        <w:snapToGrid w:val="0"/>
        <w:spacing w:line="360" w:lineRule="auto"/>
        <w:ind w:right="23"/>
        <w:rPr>
          <w:rFonts w:ascii="宋体" w:hAnsi="宋体" w:eastAsia="宋体" w:cs="Times New Roman"/>
          <w:color w:val="auto"/>
          <w:kern w:val="0"/>
          <w:szCs w:val="20"/>
          <w:highlight w:val="none"/>
        </w:rPr>
      </w:pPr>
    </w:p>
    <w:p w14:paraId="3A54BD88">
      <w:pPr>
        <w:snapToGrid w:val="0"/>
        <w:spacing w:line="360" w:lineRule="auto"/>
        <w:ind w:right="23"/>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供应商名称（盖单位章）：</w:t>
      </w:r>
    </w:p>
    <w:p w14:paraId="5A72CF0D">
      <w:pPr>
        <w:snapToGrid w:val="0"/>
        <w:spacing w:line="360" w:lineRule="auto"/>
        <w:ind w:right="23"/>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日期：</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年</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月</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 xml:space="preserve">日      </w:t>
      </w:r>
    </w:p>
    <w:p w14:paraId="4EA6D2CE">
      <w:pPr>
        <w:snapToGrid w:val="0"/>
        <w:spacing w:before="120" w:line="360" w:lineRule="auto"/>
        <w:ind w:right="23"/>
        <w:rPr>
          <w:rFonts w:ascii="宋体" w:hAnsi="宋体" w:eastAsia="宋体" w:cs="Times New Roman"/>
          <w:color w:val="auto"/>
          <w:kern w:val="0"/>
          <w:szCs w:val="20"/>
          <w:highlight w:val="none"/>
        </w:rPr>
      </w:pPr>
    </w:p>
    <w:p w14:paraId="60D811E0">
      <w:pPr>
        <w:snapToGrid w:val="0"/>
        <w:spacing w:before="120" w:line="360" w:lineRule="auto"/>
        <w:ind w:right="23"/>
        <w:rPr>
          <w:rFonts w:ascii="宋体" w:hAnsi="宋体" w:eastAsia="宋体" w:cs="Times New Roman"/>
          <w:color w:val="auto"/>
          <w:kern w:val="0"/>
          <w:szCs w:val="20"/>
          <w:highlight w:val="none"/>
        </w:rPr>
      </w:pPr>
    </w:p>
    <w:p w14:paraId="29045BC3">
      <w:pPr>
        <w:snapToGrid w:val="0"/>
        <w:spacing w:line="360" w:lineRule="auto"/>
        <w:ind w:right="23"/>
        <w:rPr>
          <w:rFonts w:ascii="宋体" w:hAnsi="宋体" w:eastAsia="宋体" w:cs="Times New Roman"/>
          <w:color w:val="auto"/>
          <w:kern w:val="0"/>
          <w:sz w:val="24"/>
          <w:szCs w:val="20"/>
          <w:highlight w:val="none"/>
        </w:rPr>
      </w:pPr>
      <w:r>
        <w:rPr>
          <w:rFonts w:ascii="宋体" w:hAnsi="宋体" w:eastAsia="宋体" w:cs="Times New Roman"/>
          <w:color w:val="auto"/>
          <w:kern w:val="0"/>
          <w:szCs w:val="20"/>
          <w:highlight w:val="none"/>
        </w:rPr>
        <w:br w:type="page"/>
      </w:r>
      <w:r>
        <w:rPr>
          <w:rFonts w:hint="eastAsia" w:ascii="宋体" w:hAnsi="宋体" w:eastAsia="宋体" w:cs="Times New Roman"/>
          <w:color w:val="auto"/>
          <w:kern w:val="0"/>
          <w:sz w:val="24"/>
          <w:szCs w:val="20"/>
          <w:highlight w:val="none"/>
        </w:rPr>
        <w:t>附件2：</w:t>
      </w:r>
    </w:p>
    <w:p w14:paraId="4C686970">
      <w:pPr>
        <w:snapToGrid w:val="0"/>
        <w:spacing w:line="360" w:lineRule="auto"/>
        <w:ind w:right="23"/>
        <w:jc w:val="center"/>
        <w:rPr>
          <w:rFonts w:ascii="宋体" w:hAnsi="宋体" w:eastAsia="宋体" w:cs="Times New Roman"/>
          <w:b/>
          <w:color w:val="auto"/>
          <w:kern w:val="0"/>
          <w:sz w:val="28"/>
          <w:szCs w:val="20"/>
          <w:highlight w:val="none"/>
        </w:rPr>
      </w:pPr>
      <w:r>
        <w:rPr>
          <w:rFonts w:hint="eastAsia" w:ascii="宋体" w:hAnsi="宋体" w:eastAsia="宋体" w:cs="Times New Roman"/>
          <w:b/>
          <w:color w:val="auto"/>
          <w:kern w:val="0"/>
          <w:sz w:val="28"/>
          <w:szCs w:val="20"/>
          <w:highlight w:val="none"/>
        </w:rPr>
        <w:t>法定代表人授权书</w:t>
      </w:r>
    </w:p>
    <w:p w14:paraId="45BC69BE">
      <w:pPr>
        <w:snapToGrid w:val="0"/>
        <w:spacing w:line="360" w:lineRule="auto"/>
        <w:ind w:right="23"/>
        <w:rPr>
          <w:rFonts w:ascii="宋体" w:hAnsi="宋体" w:eastAsia="宋体" w:cs="Times New Roman"/>
          <w:b/>
          <w:color w:val="auto"/>
          <w:kern w:val="0"/>
          <w:sz w:val="28"/>
          <w:szCs w:val="20"/>
          <w:highlight w:val="none"/>
        </w:rPr>
      </w:pPr>
    </w:p>
    <w:p w14:paraId="2F0EC9C5">
      <w:pPr>
        <w:autoSpaceDE w:val="0"/>
        <w:autoSpaceDN w:val="0"/>
        <w:snapToGrid w:val="0"/>
        <w:spacing w:before="120" w:line="360" w:lineRule="auto"/>
        <w:ind w:firstLine="420"/>
        <w:jc w:val="lef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本人</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（姓名、职务）系</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 xml:space="preserve"> （供应商名称）的法定代表人，现授权</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（姓名、职务）为我方代理人。代理人根据授权，以我方名义：(1)签署、澄清、补正、修改、撤回、提交</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（项目名称、采购编号</w:t>
      </w:r>
      <w:r>
        <w:rPr>
          <w:rFonts w:hint="eastAsia" w:ascii="宋体" w:hAnsi="宋体" w:eastAsia="宋体" w:cs="Times New Roman"/>
          <w:color w:val="auto"/>
          <w:kern w:val="0"/>
          <w:szCs w:val="20"/>
          <w:highlight w:val="none"/>
          <w:lang w:eastAsia="zh-CN"/>
        </w:rPr>
        <w:t>、</w:t>
      </w:r>
      <w:r>
        <w:rPr>
          <w:rFonts w:hint="eastAsia" w:ascii="宋体" w:hAnsi="宋体" w:eastAsia="宋体" w:cs="Times New Roman"/>
          <w:color w:val="auto"/>
          <w:kern w:val="0"/>
          <w:szCs w:val="20"/>
          <w:highlight w:val="none"/>
        </w:rPr>
        <w:t>委托代理编号）响应文件；(2)签署并重新提交响应文件及最后报价；(3)签订合同和处理有关事宜，其法律后果由我方承担；（4）询问、质疑、投诉等相关事项，其法律后果由我方承担。</w:t>
      </w:r>
    </w:p>
    <w:p w14:paraId="3ACA301A">
      <w:pPr>
        <w:autoSpaceDE w:val="0"/>
        <w:autoSpaceDN w:val="0"/>
        <w:snapToGrid w:val="0"/>
        <w:spacing w:before="120" w:line="360" w:lineRule="auto"/>
        <w:ind w:firstLine="420"/>
        <w:jc w:val="left"/>
        <w:rPr>
          <w:rFonts w:ascii="宋体" w:hAnsi="宋体" w:eastAsia="宋体" w:cs="Times New Roman"/>
          <w:color w:val="auto"/>
          <w:kern w:val="0"/>
          <w:szCs w:val="20"/>
          <w:highlight w:val="none"/>
        </w:rPr>
      </w:pPr>
    </w:p>
    <w:p w14:paraId="5DEAFD53">
      <w:pPr>
        <w:autoSpaceDE w:val="0"/>
        <w:autoSpaceDN w:val="0"/>
        <w:snapToGrid w:val="0"/>
        <w:spacing w:before="120" w:line="360" w:lineRule="auto"/>
        <w:ind w:firstLine="420"/>
        <w:jc w:val="lef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委托期限：</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 xml:space="preserve"> 。</w:t>
      </w:r>
    </w:p>
    <w:p w14:paraId="7E41C6B1">
      <w:pPr>
        <w:snapToGrid w:val="0"/>
        <w:spacing w:line="360" w:lineRule="auto"/>
        <w:ind w:firstLine="435"/>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代理人无转委托权。</w:t>
      </w:r>
    </w:p>
    <w:p w14:paraId="237E00FA">
      <w:pPr>
        <w:snapToGrid w:val="0"/>
        <w:spacing w:line="360" w:lineRule="auto"/>
        <w:ind w:firstLine="435"/>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本授权书于</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年</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月</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日签字生效，特此声明。</w:t>
      </w:r>
    </w:p>
    <w:p w14:paraId="38D2DF86">
      <w:pPr>
        <w:snapToGrid w:val="0"/>
        <w:spacing w:before="120" w:line="360" w:lineRule="auto"/>
        <w:ind w:firstLine="420"/>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附：委托代理人身份证复印件及法定代表人身份证明(附件1，原件)</w:t>
      </w:r>
    </w:p>
    <w:tbl>
      <w:tblPr>
        <w:tblStyle w:val="26"/>
        <w:tblW w:w="0" w:type="auto"/>
        <w:tblInd w:w="0" w:type="dxa"/>
        <w:tblLayout w:type="fixed"/>
        <w:tblCellMar>
          <w:top w:w="0" w:type="dxa"/>
          <w:left w:w="0" w:type="dxa"/>
          <w:bottom w:w="0" w:type="dxa"/>
          <w:right w:w="0" w:type="dxa"/>
        </w:tblCellMar>
      </w:tblPr>
      <w:tblGrid>
        <w:gridCol w:w="9514"/>
      </w:tblGrid>
      <w:tr w14:paraId="1D87528C">
        <w:tblPrEx>
          <w:tblCellMar>
            <w:top w:w="0" w:type="dxa"/>
            <w:left w:w="0" w:type="dxa"/>
            <w:bottom w:w="0" w:type="dxa"/>
            <w:right w:w="0" w:type="dxa"/>
          </w:tblCellMar>
        </w:tblPrEx>
        <w:trPr>
          <w:trHeight w:val="3089" w:hRule="atLeast"/>
        </w:trPr>
        <w:tc>
          <w:tcPr>
            <w:tcW w:w="95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1C0BCFE">
            <w:pPr>
              <w:snapToGrid w:val="0"/>
              <w:spacing w:line="360" w:lineRule="auto"/>
              <w:ind w:right="23"/>
              <w:rPr>
                <w:rFonts w:ascii="宋体" w:hAnsi="宋体" w:eastAsia="宋体" w:cs="Times New Roman"/>
                <w:color w:val="auto"/>
                <w:kern w:val="0"/>
                <w:szCs w:val="20"/>
                <w:highlight w:val="none"/>
              </w:rPr>
            </w:pPr>
          </w:p>
        </w:tc>
      </w:tr>
    </w:tbl>
    <w:p w14:paraId="40E2011A">
      <w:pPr>
        <w:snapToGrid w:val="0"/>
        <w:spacing w:line="360" w:lineRule="auto"/>
        <w:ind w:right="23"/>
        <w:rPr>
          <w:rFonts w:ascii="宋体" w:hAnsi="宋体" w:eastAsia="宋体" w:cs="Times New Roman"/>
          <w:color w:val="auto"/>
          <w:kern w:val="0"/>
          <w:szCs w:val="20"/>
          <w:highlight w:val="none"/>
        </w:rPr>
      </w:pPr>
    </w:p>
    <w:p w14:paraId="27D3DE52">
      <w:pPr>
        <w:snapToGrid w:val="0"/>
        <w:spacing w:line="360" w:lineRule="auto"/>
        <w:ind w:right="23"/>
        <w:rPr>
          <w:rFonts w:ascii="宋体" w:hAnsi="宋体" w:eastAsia="宋体" w:cs="Times New Roman"/>
          <w:color w:val="auto"/>
          <w:kern w:val="0"/>
          <w:szCs w:val="20"/>
          <w:highlight w:val="none"/>
        </w:rPr>
      </w:pPr>
    </w:p>
    <w:p w14:paraId="4060957F">
      <w:pPr>
        <w:snapToGrid w:val="0"/>
        <w:spacing w:line="360" w:lineRule="auto"/>
        <w:ind w:right="23"/>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供应商名称（盖单位章）：</w:t>
      </w:r>
    </w:p>
    <w:p w14:paraId="7C348189">
      <w:pPr>
        <w:snapToGrid w:val="0"/>
        <w:spacing w:line="360" w:lineRule="auto"/>
        <w:ind w:right="23"/>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法定代表人（签字）：</w:t>
      </w:r>
      <w:r>
        <w:rPr>
          <w:rFonts w:hint="eastAsia" w:ascii="宋体" w:hAnsi="宋体" w:eastAsia="宋体" w:cs="Times New Roman"/>
          <w:color w:val="auto"/>
          <w:kern w:val="0"/>
          <w:szCs w:val="20"/>
          <w:highlight w:val="none"/>
          <w:u w:val="single"/>
        </w:rPr>
        <w:t xml:space="preserve">                     </w:t>
      </w:r>
    </w:p>
    <w:p w14:paraId="214096FC">
      <w:pPr>
        <w:snapToGrid w:val="0"/>
        <w:spacing w:line="360" w:lineRule="auto"/>
        <w:ind w:right="23"/>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委托代理人（签字）：</w:t>
      </w:r>
      <w:r>
        <w:rPr>
          <w:rFonts w:hint="eastAsia" w:ascii="宋体" w:hAnsi="宋体" w:eastAsia="宋体" w:cs="Times New Roman"/>
          <w:color w:val="auto"/>
          <w:kern w:val="0"/>
          <w:szCs w:val="20"/>
          <w:highlight w:val="none"/>
          <w:u w:val="single"/>
        </w:rPr>
        <w:t xml:space="preserve">                     </w:t>
      </w:r>
    </w:p>
    <w:p w14:paraId="429AA4E4">
      <w:pPr>
        <w:snapToGrid w:val="0"/>
        <w:spacing w:line="360" w:lineRule="auto"/>
        <w:ind w:right="23"/>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日期：</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年</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月</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日</w:t>
      </w:r>
    </w:p>
    <w:p w14:paraId="609A8456">
      <w:pPr>
        <w:snapToGrid w:val="0"/>
        <w:spacing w:line="360" w:lineRule="auto"/>
        <w:ind w:right="23"/>
        <w:rPr>
          <w:rFonts w:ascii="宋体" w:hAnsi="宋体" w:eastAsia="宋体" w:cs="Times New Roman"/>
          <w:b/>
          <w:color w:val="auto"/>
          <w:kern w:val="0"/>
          <w:szCs w:val="20"/>
          <w:highlight w:val="none"/>
        </w:rPr>
      </w:pPr>
    </w:p>
    <w:p w14:paraId="1FB89DBD">
      <w:pPr>
        <w:snapToGrid w:val="0"/>
        <w:spacing w:line="360" w:lineRule="auto"/>
        <w:ind w:right="23"/>
        <w:rPr>
          <w:rFonts w:ascii="宋体" w:hAnsi="宋体" w:eastAsia="宋体" w:cs="Times New Roman"/>
          <w:b/>
          <w:color w:val="auto"/>
          <w:kern w:val="0"/>
          <w:szCs w:val="20"/>
          <w:highlight w:val="none"/>
        </w:rPr>
      </w:pPr>
    </w:p>
    <w:p w14:paraId="109D197D">
      <w:pPr>
        <w:snapToGrid w:val="0"/>
        <w:spacing w:before="120" w:line="360" w:lineRule="auto"/>
        <w:ind w:right="420"/>
        <w:rPr>
          <w:rFonts w:ascii="宋体" w:hAnsi="宋体" w:eastAsia="宋体" w:cs="Times New Roman"/>
          <w:b/>
          <w:color w:val="auto"/>
          <w:kern w:val="0"/>
          <w:szCs w:val="20"/>
          <w:highlight w:val="none"/>
        </w:rPr>
      </w:pPr>
      <w:r>
        <w:rPr>
          <w:rFonts w:hint="eastAsia" w:ascii="宋体" w:hAnsi="宋体" w:eastAsia="宋体" w:cs="Times New Roman"/>
          <w:b/>
          <w:color w:val="auto"/>
          <w:kern w:val="0"/>
          <w:szCs w:val="20"/>
          <w:highlight w:val="none"/>
        </w:rPr>
        <w:t>附被授权人在投标单位近三个月内任意连续一个月的社保证明。</w:t>
      </w:r>
    </w:p>
    <w:p w14:paraId="4B914BC7">
      <w:pPr>
        <w:snapToGrid w:val="0"/>
        <w:spacing w:line="360" w:lineRule="auto"/>
        <w:ind w:right="23" w:firstLine="420"/>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br w:type="page"/>
      </w:r>
    </w:p>
    <w:p w14:paraId="7090A5AB">
      <w:pPr>
        <w:rPr>
          <w:rFonts w:ascii="宋体" w:hAnsi="宋体" w:eastAsia="宋体" w:cs="Times New Roman"/>
          <w:color w:val="auto"/>
          <w:kern w:val="0"/>
          <w:szCs w:val="20"/>
          <w:highlight w:val="none"/>
        </w:rPr>
      </w:pPr>
    </w:p>
    <w:p w14:paraId="72E63F7C">
      <w:pPr>
        <w:snapToGrid w:val="0"/>
        <w:spacing w:line="360" w:lineRule="auto"/>
        <w:ind w:right="23"/>
        <w:rPr>
          <w:rFonts w:ascii="宋体" w:hAnsi="宋体" w:eastAsia="宋体" w:cs="Times New Roman"/>
          <w:b/>
          <w:color w:val="auto"/>
          <w:kern w:val="0"/>
          <w:sz w:val="28"/>
          <w:szCs w:val="20"/>
          <w:highlight w:val="none"/>
        </w:rPr>
      </w:pPr>
      <w:r>
        <w:rPr>
          <w:rFonts w:hint="eastAsia" w:ascii="宋体" w:hAnsi="宋体" w:eastAsia="宋体" w:cs="Times New Roman"/>
          <w:color w:val="auto"/>
          <w:kern w:val="0"/>
          <w:sz w:val="24"/>
          <w:szCs w:val="20"/>
          <w:highlight w:val="none"/>
        </w:rPr>
        <w:t>附件</w:t>
      </w:r>
      <w:r>
        <w:rPr>
          <w:rFonts w:hint="eastAsia" w:ascii="宋体" w:hAnsi="宋体" w:cs="Times New Roman"/>
          <w:color w:val="auto"/>
          <w:kern w:val="0"/>
          <w:sz w:val="24"/>
          <w:szCs w:val="20"/>
          <w:highlight w:val="none"/>
          <w:lang w:val="en-US" w:eastAsia="zh-CN"/>
        </w:rPr>
        <w:t>3</w:t>
      </w:r>
      <w:r>
        <w:rPr>
          <w:rFonts w:hint="eastAsia" w:ascii="宋体" w:hAnsi="宋体" w:eastAsia="宋体" w:cs="Times New Roman"/>
          <w:color w:val="auto"/>
          <w:kern w:val="0"/>
          <w:sz w:val="24"/>
          <w:szCs w:val="20"/>
          <w:highlight w:val="none"/>
        </w:rPr>
        <w:t xml:space="preserve">：                 </w:t>
      </w:r>
      <w:r>
        <w:rPr>
          <w:rFonts w:hint="eastAsia" w:ascii="宋体" w:hAnsi="宋体" w:eastAsia="宋体" w:cs="Times New Roman"/>
          <w:b/>
          <w:color w:val="auto"/>
          <w:kern w:val="0"/>
          <w:sz w:val="24"/>
          <w:szCs w:val="20"/>
          <w:highlight w:val="none"/>
        </w:rPr>
        <w:t xml:space="preserve"> </w:t>
      </w:r>
      <w:r>
        <w:rPr>
          <w:rFonts w:hint="eastAsia" w:ascii="宋体" w:hAnsi="宋体" w:eastAsia="宋体" w:cs="Times New Roman"/>
          <w:b/>
          <w:color w:val="auto"/>
          <w:kern w:val="0"/>
          <w:sz w:val="28"/>
          <w:szCs w:val="20"/>
          <w:highlight w:val="none"/>
        </w:rPr>
        <w:t xml:space="preserve"> 不拖欠民工工资承诺书</w:t>
      </w:r>
    </w:p>
    <w:p w14:paraId="477297A9">
      <w:pPr>
        <w:snapToGrid w:val="0"/>
        <w:spacing w:line="360" w:lineRule="auto"/>
        <w:ind w:right="23"/>
        <w:rPr>
          <w:rFonts w:ascii="宋体" w:hAnsi="宋体" w:eastAsia="宋体" w:cs="Times New Roman"/>
          <w:b/>
          <w:color w:val="auto"/>
          <w:kern w:val="0"/>
          <w:sz w:val="28"/>
          <w:szCs w:val="20"/>
          <w:highlight w:val="none"/>
        </w:rPr>
      </w:pPr>
    </w:p>
    <w:p w14:paraId="2AC29FD2">
      <w:pPr>
        <w:snapToGrid w:val="0"/>
        <w:spacing w:line="360" w:lineRule="auto"/>
        <w:ind w:right="23"/>
        <w:rPr>
          <w:rFonts w:ascii="宋体" w:hAnsi="宋体" w:eastAsia="宋体" w:cs="Times New Roman"/>
          <w:b/>
          <w:color w:val="auto"/>
          <w:kern w:val="0"/>
          <w:sz w:val="28"/>
          <w:szCs w:val="20"/>
          <w:highlight w:val="none"/>
        </w:rPr>
      </w:pPr>
    </w:p>
    <w:p w14:paraId="6BC1AA54">
      <w:pPr>
        <w:snapToGrid w:val="0"/>
        <w:spacing w:line="360" w:lineRule="auto"/>
        <w:ind w:right="23"/>
        <w:rPr>
          <w:rFonts w:ascii="宋体" w:hAnsi="宋体" w:eastAsia="宋体" w:cs="Times New Roman"/>
          <w:color w:val="auto"/>
          <w:kern w:val="0"/>
          <w:szCs w:val="20"/>
          <w:highlight w:val="none"/>
        </w:rPr>
      </w:pPr>
    </w:p>
    <w:p w14:paraId="35EB7764">
      <w:pPr>
        <w:snapToGrid w:val="0"/>
        <w:spacing w:line="480" w:lineRule="exact"/>
        <w:ind w:right="23" w:firstLine="3990"/>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内容、格式自拟。</w:t>
      </w:r>
    </w:p>
    <w:p w14:paraId="71ECAC9C">
      <w:pPr>
        <w:snapToGrid w:val="0"/>
        <w:spacing w:line="360" w:lineRule="auto"/>
        <w:ind w:right="23"/>
        <w:rPr>
          <w:rFonts w:ascii="宋体" w:hAnsi="宋体" w:eastAsia="宋体" w:cs="Times New Roman"/>
          <w:color w:val="auto"/>
          <w:kern w:val="0"/>
          <w:szCs w:val="20"/>
          <w:highlight w:val="none"/>
        </w:rPr>
      </w:pPr>
    </w:p>
    <w:p w14:paraId="59FCF90D">
      <w:pPr>
        <w:snapToGrid w:val="0"/>
        <w:spacing w:line="360" w:lineRule="auto"/>
        <w:ind w:right="23"/>
        <w:rPr>
          <w:rFonts w:ascii="宋体" w:hAnsi="宋体" w:eastAsia="宋体" w:cs="Times New Roman"/>
          <w:color w:val="auto"/>
          <w:kern w:val="0"/>
          <w:szCs w:val="20"/>
          <w:highlight w:val="none"/>
        </w:rPr>
      </w:pPr>
    </w:p>
    <w:p w14:paraId="46425DE1">
      <w:pPr>
        <w:snapToGrid w:val="0"/>
        <w:spacing w:line="360" w:lineRule="auto"/>
        <w:ind w:right="23"/>
        <w:rPr>
          <w:rFonts w:ascii="宋体" w:hAnsi="宋体" w:eastAsia="宋体" w:cs="Times New Roman"/>
          <w:color w:val="auto"/>
          <w:kern w:val="0"/>
          <w:szCs w:val="20"/>
          <w:highlight w:val="none"/>
        </w:rPr>
      </w:pPr>
    </w:p>
    <w:p w14:paraId="06706A9F">
      <w:pPr>
        <w:snapToGrid w:val="0"/>
        <w:spacing w:line="360" w:lineRule="atLeast"/>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t>供应商名称(盖单位章)：</w:t>
      </w:r>
    </w:p>
    <w:p w14:paraId="0EB02756">
      <w:pPr>
        <w:snapToGrid w:val="0"/>
        <w:spacing w:line="360" w:lineRule="auto"/>
        <w:ind w:right="23"/>
        <w:rPr>
          <w:rFonts w:hint="eastAsia" w:ascii="宋体" w:hAnsi="宋体" w:eastAsia="宋体" w:cs="Times New Roman"/>
          <w:color w:val="auto"/>
          <w:kern w:val="0"/>
          <w:szCs w:val="20"/>
          <w:highlight w:val="none"/>
        </w:rPr>
      </w:pPr>
    </w:p>
    <w:p w14:paraId="4A16017A">
      <w:pPr>
        <w:snapToGrid w:val="0"/>
        <w:spacing w:line="360" w:lineRule="auto"/>
        <w:ind w:right="23"/>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法定代表人或其委托代理人（签字）：</w:t>
      </w:r>
    </w:p>
    <w:p w14:paraId="2118EFFD">
      <w:pPr>
        <w:snapToGrid w:val="0"/>
        <w:spacing w:line="360" w:lineRule="auto"/>
        <w:ind w:right="23"/>
        <w:rPr>
          <w:rFonts w:ascii="宋体" w:hAnsi="宋体" w:eastAsia="宋体" w:cs="Times New Roman"/>
          <w:color w:val="auto"/>
          <w:kern w:val="0"/>
          <w:szCs w:val="20"/>
          <w:highlight w:val="none"/>
        </w:rPr>
      </w:pPr>
    </w:p>
    <w:p w14:paraId="540FFB74">
      <w:pPr>
        <w:snapToGrid w:val="0"/>
        <w:spacing w:line="360" w:lineRule="auto"/>
        <w:ind w:right="23"/>
        <w:rPr>
          <w:rFonts w:ascii="宋体" w:hAnsi="宋体" w:eastAsia="宋体" w:cs="Times New Roman"/>
          <w:b/>
          <w:color w:val="auto"/>
          <w:kern w:val="0"/>
          <w:sz w:val="32"/>
          <w:szCs w:val="20"/>
          <w:highlight w:val="none"/>
        </w:rPr>
      </w:pPr>
      <w:r>
        <w:rPr>
          <w:rFonts w:hint="eastAsia" w:ascii="宋体" w:hAnsi="宋体" w:eastAsia="宋体" w:cs="Times New Roman"/>
          <w:color w:val="auto"/>
          <w:kern w:val="0"/>
          <w:szCs w:val="20"/>
          <w:highlight w:val="none"/>
        </w:rPr>
        <w:t>日期：</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年</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月</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日</w:t>
      </w:r>
    </w:p>
    <w:p w14:paraId="56CD48C1">
      <w:pPr>
        <w:snapToGrid w:val="0"/>
        <w:spacing w:line="360" w:lineRule="auto"/>
        <w:ind w:left="2948" w:right="23"/>
        <w:jc w:val="center"/>
        <w:rPr>
          <w:rFonts w:ascii="宋体" w:hAnsi="宋体" w:eastAsia="宋体" w:cs="Times New Roman"/>
          <w:b/>
          <w:color w:val="auto"/>
          <w:kern w:val="0"/>
          <w:sz w:val="32"/>
          <w:szCs w:val="20"/>
          <w:highlight w:val="none"/>
        </w:rPr>
      </w:pPr>
    </w:p>
    <w:p w14:paraId="3B73B138">
      <w:pPr>
        <w:snapToGrid w:val="0"/>
        <w:spacing w:line="360" w:lineRule="auto"/>
        <w:ind w:left="2948" w:right="23"/>
        <w:jc w:val="center"/>
        <w:rPr>
          <w:rFonts w:ascii="宋体" w:hAnsi="宋体" w:eastAsia="宋体" w:cs="Times New Roman"/>
          <w:b/>
          <w:color w:val="auto"/>
          <w:kern w:val="0"/>
          <w:sz w:val="32"/>
          <w:szCs w:val="20"/>
          <w:highlight w:val="none"/>
        </w:rPr>
      </w:pPr>
    </w:p>
    <w:p w14:paraId="32F3B6A0">
      <w:pPr>
        <w:snapToGrid w:val="0"/>
        <w:spacing w:line="360" w:lineRule="auto"/>
        <w:ind w:left="2948" w:right="23"/>
        <w:jc w:val="center"/>
        <w:rPr>
          <w:rFonts w:ascii="宋体" w:hAnsi="宋体" w:eastAsia="宋体" w:cs="Times New Roman"/>
          <w:b/>
          <w:color w:val="auto"/>
          <w:kern w:val="0"/>
          <w:sz w:val="32"/>
          <w:szCs w:val="20"/>
          <w:highlight w:val="none"/>
        </w:rPr>
      </w:pPr>
    </w:p>
    <w:p w14:paraId="21D545A2">
      <w:pPr>
        <w:snapToGrid w:val="0"/>
        <w:spacing w:line="360" w:lineRule="auto"/>
        <w:ind w:left="2948" w:right="23"/>
        <w:jc w:val="center"/>
        <w:rPr>
          <w:rFonts w:ascii="宋体" w:hAnsi="宋体" w:eastAsia="宋体" w:cs="Times New Roman"/>
          <w:b/>
          <w:color w:val="auto"/>
          <w:kern w:val="0"/>
          <w:sz w:val="32"/>
          <w:szCs w:val="20"/>
          <w:highlight w:val="none"/>
        </w:rPr>
      </w:pPr>
    </w:p>
    <w:p w14:paraId="029314C2">
      <w:pPr>
        <w:snapToGrid w:val="0"/>
        <w:spacing w:line="360" w:lineRule="auto"/>
        <w:ind w:left="2948" w:right="23"/>
        <w:jc w:val="center"/>
        <w:rPr>
          <w:rFonts w:ascii="宋体" w:hAnsi="宋体" w:eastAsia="宋体" w:cs="Times New Roman"/>
          <w:b/>
          <w:color w:val="auto"/>
          <w:kern w:val="0"/>
          <w:sz w:val="32"/>
          <w:szCs w:val="20"/>
          <w:highlight w:val="none"/>
        </w:rPr>
      </w:pPr>
    </w:p>
    <w:p w14:paraId="16C55CC0">
      <w:pPr>
        <w:snapToGrid w:val="0"/>
        <w:spacing w:line="360" w:lineRule="auto"/>
        <w:ind w:left="2948" w:right="23"/>
        <w:jc w:val="center"/>
        <w:rPr>
          <w:rFonts w:ascii="宋体" w:hAnsi="宋体" w:eastAsia="宋体" w:cs="Times New Roman"/>
          <w:b/>
          <w:color w:val="auto"/>
          <w:kern w:val="0"/>
          <w:sz w:val="32"/>
          <w:szCs w:val="20"/>
          <w:highlight w:val="none"/>
        </w:rPr>
      </w:pPr>
    </w:p>
    <w:p w14:paraId="4D327256">
      <w:pPr>
        <w:snapToGrid w:val="0"/>
        <w:spacing w:line="360" w:lineRule="auto"/>
        <w:ind w:left="2948" w:right="23"/>
        <w:jc w:val="center"/>
        <w:rPr>
          <w:rFonts w:ascii="宋体" w:hAnsi="宋体" w:eastAsia="宋体" w:cs="Times New Roman"/>
          <w:b/>
          <w:color w:val="auto"/>
          <w:kern w:val="0"/>
          <w:sz w:val="32"/>
          <w:szCs w:val="20"/>
          <w:highlight w:val="none"/>
        </w:rPr>
      </w:pPr>
    </w:p>
    <w:p w14:paraId="33707AB5">
      <w:pPr>
        <w:snapToGrid w:val="0"/>
        <w:spacing w:line="360" w:lineRule="auto"/>
        <w:ind w:left="2948" w:right="23"/>
        <w:jc w:val="center"/>
        <w:rPr>
          <w:rFonts w:ascii="宋体" w:hAnsi="宋体" w:eastAsia="宋体" w:cs="Times New Roman"/>
          <w:b/>
          <w:color w:val="auto"/>
          <w:kern w:val="0"/>
          <w:sz w:val="32"/>
          <w:szCs w:val="20"/>
          <w:highlight w:val="none"/>
        </w:rPr>
      </w:pPr>
    </w:p>
    <w:p w14:paraId="661654F4">
      <w:pPr>
        <w:snapToGrid w:val="0"/>
        <w:spacing w:line="360" w:lineRule="auto"/>
        <w:ind w:left="2948" w:right="23"/>
        <w:jc w:val="center"/>
        <w:rPr>
          <w:rFonts w:ascii="宋体" w:hAnsi="宋体" w:eastAsia="宋体" w:cs="Times New Roman"/>
          <w:b/>
          <w:color w:val="auto"/>
          <w:kern w:val="0"/>
          <w:sz w:val="32"/>
          <w:szCs w:val="20"/>
          <w:highlight w:val="none"/>
        </w:rPr>
      </w:pPr>
    </w:p>
    <w:p w14:paraId="73849E4B">
      <w:pPr>
        <w:snapToGrid w:val="0"/>
        <w:spacing w:line="360" w:lineRule="auto"/>
        <w:ind w:left="2948" w:right="23"/>
        <w:jc w:val="center"/>
        <w:rPr>
          <w:rFonts w:ascii="宋体" w:hAnsi="宋体" w:eastAsia="宋体" w:cs="Times New Roman"/>
          <w:b/>
          <w:color w:val="auto"/>
          <w:kern w:val="0"/>
          <w:sz w:val="32"/>
          <w:szCs w:val="20"/>
          <w:highlight w:val="none"/>
        </w:rPr>
      </w:pPr>
    </w:p>
    <w:p w14:paraId="4905D310">
      <w:pPr>
        <w:snapToGrid w:val="0"/>
        <w:spacing w:line="360" w:lineRule="auto"/>
        <w:ind w:left="2948" w:right="23"/>
        <w:jc w:val="center"/>
        <w:rPr>
          <w:rFonts w:ascii="宋体" w:hAnsi="宋体" w:eastAsia="宋体" w:cs="Times New Roman"/>
          <w:b/>
          <w:color w:val="auto"/>
          <w:kern w:val="0"/>
          <w:sz w:val="32"/>
          <w:szCs w:val="20"/>
          <w:highlight w:val="none"/>
        </w:rPr>
      </w:pPr>
    </w:p>
    <w:p w14:paraId="1776E907">
      <w:pPr>
        <w:snapToGrid w:val="0"/>
        <w:spacing w:line="360" w:lineRule="auto"/>
        <w:ind w:left="2948" w:right="23"/>
        <w:jc w:val="center"/>
        <w:rPr>
          <w:rFonts w:ascii="宋体" w:hAnsi="宋体" w:eastAsia="宋体" w:cs="Times New Roman"/>
          <w:b/>
          <w:color w:val="auto"/>
          <w:kern w:val="0"/>
          <w:sz w:val="32"/>
          <w:szCs w:val="20"/>
          <w:highlight w:val="none"/>
        </w:rPr>
      </w:pPr>
    </w:p>
    <w:p w14:paraId="76C9700F">
      <w:pPr>
        <w:snapToGrid w:val="0"/>
        <w:spacing w:line="360" w:lineRule="auto"/>
        <w:ind w:left="2948" w:right="23"/>
        <w:jc w:val="center"/>
        <w:rPr>
          <w:rFonts w:ascii="宋体" w:hAnsi="宋体" w:eastAsia="宋体" w:cs="Times New Roman"/>
          <w:b/>
          <w:color w:val="auto"/>
          <w:kern w:val="0"/>
          <w:sz w:val="32"/>
          <w:szCs w:val="20"/>
          <w:highlight w:val="none"/>
        </w:rPr>
      </w:pPr>
    </w:p>
    <w:p w14:paraId="63CEE017">
      <w:pPr>
        <w:widowControl w:val="0"/>
        <w:autoSpaceDE w:val="0"/>
        <w:autoSpaceDN w:val="0"/>
        <w:adjustRightInd w:val="0"/>
        <w:spacing w:after="120"/>
        <w:ind w:left="0" w:firstLine="0"/>
        <w:jc w:val="left"/>
        <w:rPr>
          <w:rFonts w:ascii="宋体" w:hAnsi="宋体" w:eastAsia="宋体" w:cs="Times New Roman"/>
          <w:color w:val="auto"/>
          <w:sz w:val="20"/>
          <w:highlight w:val="none"/>
          <w:lang w:val="en-US" w:eastAsia="zh-CN" w:bidi="ar-SA"/>
        </w:rPr>
      </w:pPr>
    </w:p>
    <w:p w14:paraId="73F705ED">
      <w:pPr>
        <w:snapToGrid w:val="0"/>
        <w:spacing w:line="360" w:lineRule="auto"/>
        <w:jc w:val="center"/>
        <w:rPr>
          <w:rFonts w:ascii="宋体" w:hAnsi="宋体" w:eastAsia="宋体" w:cs="Times New Roman"/>
          <w:b/>
          <w:color w:val="auto"/>
          <w:kern w:val="0"/>
          <w:sz w:val="32"/>
          <w:szCs w:val="20"/>
          <w:highlight w:val="none"/>
        </w:rPr>
      </w:pPr>
      <w:r>
        <w:rPr>
          <w:rFonts w:hint="eastAsia" w:ascii="宋体" w:hAnsi="宋体" w:eastAsia="宋体" w:cs="Times New Roman"/>
          <w:b/>
          <w:color w:val="auto"/>
          <w:kern w:val="0"/>
          <w:sz w:val="32"/>
          <w:szCs w:val="20"/>
          <w:highlight w:val="none"/>
        </w:rPr>
        <w:t>二、</w:t>
      </w:r>
      <w:r>
        <w:rPr>
          <w:rFonts w:hint="eastAsia" w:ascii="宋体" w:hAnsi="宋体" w:eastAsia="宋体" w:cs="Times New Roman"/>
          <w:b/>
          <w:bCs/>
          <w:color w:val="auto"/>
          <w:kern w:val="0"/>
          <w:sz w:val="30"/>
          <w:szCs w:val="30"/>
          <w:highlight w:val="none"/>
          <w:lang w:val="zh-TW"/>
        </w:rPr>
        <w:t>投标承诺</w:t>
      </w:r>
    </w:p>
    <w:p w14:paraId="593AF662">
      <w:pPr>
        <w:snapToGrid w:val="0"/>
        <w:spacing w:before="120" w:line="360" w:lineRule="auto"/>
        <w:rPr>
          <w:rFonts w:ascii="宋体" w:hAnsi="宋体" w:eastAsia="宋体" w:cs="Times New Roman"/>
          <w:color w:val="auto"/>
          <w:kern w:val="0"/>
          <w:sz w:val="20"/>
          <w:szCs w:val="20"/>
          <w:highlight w:val="none"/>
        </w:rPr>
      </w:pPr>
      <w:r>
        <w:rPr>
          <w:rFonts w:ascii="宋体" w:hAnsi="宋体" w:eastAsia="宋体" w:cs="Times New Roman"/>
          <w:color w:val="auto"/>
          <w:kern w:val="0"/>
          <w:sz w:val="20"/>
          <w:szCs w:val="20"/>
          <w:highlight w:val="none"/>
        </w:rPr>
        <w:t xml:space="preserve">    </w:t>
      </w:r>
    </w:p>
    <w:p w14:paraId="53609685">
      <w:pPr>
        <w:snapToGrid w:val="0"/>
        <w:spacing w:line="360" w:lineRule="auto"/>
        <w:jc w:val="left"/>
        <w:rPr>
          <w:rFonts w:ascii="宋体" w:hAnsi="宋体" w:eastAsia="宋体" w:cs="Times New Roman"/>
          <w:color w:val="auto"/>
          <w:kern w:val="0"/>
          <w:sz w:val="32"/>
          <w:szCs w:val="20"/>
          <w:highlight w:val="none"/>
        </w:rPr>
      </w:pPr>
      <w:r>
        <w:rPr>
          <w:rFonts w:hint="eastAsia" w:ascii="宋体" w:hAnsi="宋体" w:eastAsia="宋体" w:cs="Times New Roman"/>
          <w:color w:val="auto"/>
          <w:kern w:val="0"/>
          <w:sz w:val="32"/>
          <w:szCs w:val="20"/>
          <w:highlight w:val="none"/>
        </w:rPr>
        <w:t>附件</w:t>
      </w:r>
      <w:r>
        <w:rPr>
          <w:rFonts w:hint="eastAsia" w:ascii="宋体" w:hAnsi="宋体" w:cs="Times New Roman"/>
          <w:color w:val="auto"/>
          <w:kern w:val="0"/>
          <w:sz w:val="32"/>
          <w:szCs w:val="20"/>
          <w:highlight w:val="none"/>
          <w:lang w:val="en-US" w:eastAsia="zh-CN"/>
        </w:rPr>
        <w:t>4</w:t>
      </w:r>
      <w:r>
        <w:rPr>
          <w:rFonts w:hint="eastAsia" w:ascii="宋体" w:hAnsi="宋体" w:eastAsia="宋体" w:cs="Times New Roman"/>
          <w:color w:val="auto"/>
          <w:kern w:val="0"/>
          <w:sz w:val="32"/>
          <w:szCs w:val="20"/>
          <w:highlight w:val="none"/>
        </w:rPr>
        <w:t>：</w:t>
      </w:r>
    </w:p>
    <w:p w14:paraId="0A680C4C">
      <w:pPr>
        <w:snapToGrid w:val="0"/>
        <w:spacing w:line="360" w:lineRule="auto"/>
        <w:ind w:right="23"/>
        <w:jc w:val="center"/>
        <w:rPr>
          <w:rFonts w:ascii="宋体" w:hAnsi="宋体" w:eastAsia="宋体" w:cs="Times New Roman"/>
          <w:b/>
          <w:color w:val="auto"/>
          <w:kern w:val="0"/>
          <w:sz w:val="24"/>
          <w:szCs w:val="20"/>
          <w:highlight w:val="none"/>
        </w:rPr>
      </w:pPr>
      <w:r>
        <w:rPr>
          <w:rFonts w:hint="eastAsia" w:ascii="宋体" w:hAnsi="宋体" w:eastAsia="宋体" w:cs="Times New Roman"/>
          <w:b/>
          <w:color w:val="auto"/>
          <w:kern w:val="0"/>
          <w:sz w:val="24"/>
          <w:szCs w:val="20"/>
          <w:highlight w:val="none"/>
        </w:rPr>
        <w:t>投标承诺（格式）</w:t>
      </w:r>
    </w:p>
    <w:p w14:paraId="006AA2ED">
      <w:pPr>
        <w:spacing w:line="360" w:lineRule="auto"/>
        <w:rPr>
          <w:rFonts w:ascii="宋体" w:hAnsi="宋体" w:eastAsia="宋体" w:cs="宋体"/>
          <w:b/>
          <w:color w:val="auto"/>
          <w:kern w:val="0"/>
          <w:sz w:val="30"/>
          <w:szCs w:val="30"/>
          <w:highlight w:val="none"/>
        </w:rPr>
      </w:pPr>
    </w:p>
    <w:p w14:paraId="16265540">
      <w:pPr>
        <w:spacing w:line="360"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u w:val="single"/>
        </w:rPr>
        <w:t xml:space="preserve">                   (</w:t>
      </w:r>
      <w:r>
        <w:rPr>
          <w:rFonts w:hint="eastAsia" w:ascii="宋体" w:hAnsi="宋体" w:eastAsia="宋体" w:cs="Times New Roman"/>
          <w:color w:val="auto"/>
          <w:kern w:val="0"/>
          <w:szCs w:val="21"/>
          <w:highlight w:val="none"/>
        </w:rPr>
        <w:t>采购人名称):</w:t>
      </w:r>
    </w:p>
    <w:p w14:paraId="7A5E89F7">
      <w:pPr>
        <w:spacing w:line="360" w:lineRule="auto"/>
        <w:rPr>
          <w:rFonts w:ascii="宋体" w:hAnsi="宋体" w:eastAsia="宋体" w:cs="Times New Roman"/>
          <w:color w:val="auto"/>
          <w:kern w:val="0"/>
          <w:szCs w:val="21"/>
          <w:highlight w:val="none"/>
        </w:rPr>
      </w:pPr>
    </w:p>
    <w:p w14:paraId="77838627">
      <w:pPr>
        <w:spacing w:line="360"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1、投标担保</w:t>
      </w:r>
    </w:p>
    <w:p w14:paraId="248039F4">
      <w:pPr>
        <w:spacing w:line="360" w:lineRule="auto"/>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 xml:space="preserve">   经慎重研究，我公司参与你方组织的</w:t>
      </w:r>
      <w:r>
        <w:rPr>
          <w:rFonts w:hint="eastAsia" w:ascii="宋体" w:hAnsi="宋体" w:eastAsia="宋体" w:cs="Times New Roman"/>
          <w:color w:val="auto"/>
          <w:kern w:val="0"/>
          <w:szCs w:val="21"/>
          <w:highlight w:val="none"/>
          <w:u w:val="single"/>
        </w:rPr>
        <w:t xml:space="preserve">               </w:t>
      </w:r>
      <w:r>
        <w:rPr>
          <w:rFonts w:hint="eastAsia" w:ascii="宋体" w:hAnsi="宋体" w:eastAsia="宋体" w:cs="Times New Roman"/>
          <w:color w:val="auto"/>
          <w:kern w:val="0"/>
          <w:szCs w:val="21"/>
          <w:highlight w:val="none"/>
        </w:rPr>
        <w:t>(项目名称)的投标，我方承诺严格按照《招标投标法》、《</w:t>
      </w:r>
      <w:r>
        <w:rPr>
          <w:rFonts w:hint="eastAsia" w:ascii="宋体" w:hAnsi="宋体" w:eastAsia="宋体" w:cs="Times New Roman"/>
          <w:bCs/>
          <w:color w:val="auto"/>
          <w:kern w:val="0"/>
          <w:szCs w:val="21"/>
          <w:highlight w:val="none"/>
        </w:rPr>
        <w:t>中华人民共和国政府采购法</w:t>
      </w:r>
      <w:r>
        <w:rPr>
          <w:rFonts w:hint="eastAsia" w:ascii="宋体" w:hAnsi="宋体" w:eastAsia="宋体" w:cs="Times New Roman"/>
          <w:color w:val="auto"/>
          <w:kern w:val="0"/>
          <w:szCs w:val="21"/>
          <w:highlight w:val="none"/>
        </w:rPr>
        <w:t>》等法律法规和政策文件的要求，履行投标义务。 如果发生不履行相关投标义务的行为，自愿接受按法律法规和招标文件作出的处理。</w:t>
      </w:r>
    </w:p>
    <w:p w14:paraId="3681AB2D">
      <w:pPr>
        <w:spacing w:line="360" w:lineRule="auto"/>
        <w:rPr>
          <w:rFonts w:ascii="宋体" w:hAnsi="宋体" w:eastAsia="宋体" w:cs="Times New Roman"/>
          <w:color w:val="auto"/>
          <w:kern w:val="2"/>
          <w:szCs w:val="21"/>
          <w:highlight w:val="none"/>
        </w:rPr>
      </w:pPr>
    </w:p>
    <w:p w14:paraId="089D6000">
      <w:pPr>
        <w:spacing w:line="360" w:lineRule="auto"/>
        <w:rPr>
          <w:rFonts w:ascii="宋体" w:hAnsi="宋体" w:eastAsia="宋体" w:cs="Times New Roman"/>
          <w:color w:val="auto"/>
          <w:kern w:val="2"/>
          <w:szCs w:val="21"/>
          <w:highlight w:val="none"/>
        </w:rPr>
      </w:pPr>
    </w:p>
    <w:p w14:paraId="762328EA">
      <w:pPr>
        <w:spacing w:line="360" w:lineRule="auto"/>
        <w:rPr>
          <w:rFonts w:ascii="宋体" w:hAnsi="宋体" w:eastAsia="宋体" w:cs="Times New Roman"/>
          <w:color w:val="auto"/>
          <w:kern w:val="2"/>
          <w:szCs w:val="21"/>
          <w:highlight w:val="none"/>
        </w:rPr>
      </w:pPr>
    </w:p>
    <w:p w14:paraId="638A31B7">
      <w:pPr>
        <w:spacing w:line="360" w:lineRule="auto"/>
        <w:ind w:firstLine="1470" w:firstLineChars="700"/>
        <w:rPr>
          <w:rFonts w:ascii="宋体" w:hAnsi="宋体" w:eastAsia="宋体" w:cs="仿宋"/>
          <w:color w:val="auto"/>
          <w:kern w:val="2"/>
          <w:szCs w:val="21"/>
          <w:highlight w:val="none"/>
        </w:rPr>
      </w:pPr>
      <w:r>
        <w:rPr>
          <w:rFonts w:hint="eastAsia" w:ascii="宋体" w:hAnsi="宋体" w:eastAsia="宋体" w:cs="仿宋"/>
          <w:color w:val="auto"/>
          <w:kern w:val="2"/>
          <w:szCs w:val="21"/>
          <w:highlight w:val="none"/>
        </w:rPr>
        <w:t>供  应  商：</w:t>
      </w:r>
      <w:r>
        <w:rPr>
          <w:rFonts w:hint="eastAsia" w:ascii="宋体" w:hAnsi="宋体" w:eastAsia="宋体" w:cs="仿宋"/>
          <w:color w:val="auto"/>
          <w:kern w:val="2"/>
          <w:szCs w:val="21"/>
          <w:highlight w:val="none"/>
          <w:u w:val="single"/>
        </w:rPr>
        <w:t xml:space="preserve">         （全称）       </w:t>
      </w:r>
      <w:r>
        <w:rPr>
          <w:rFonts w:hint="eastAsia" w:ascii="宋体" w:hAnsi="宋体" w:eastAsia="宋体" w:cs="仿宋"/>
          <w:color w:val="auto"/>
          <w:kern w:val="2"/>
          <w:szCs w:val="21"/>
          <w:highlight w:val="none"/>
        </w:rPr>
        <w:t>（盖单位公章）</w:t>
      </w:r>
    </w:p>
    <w:p w14:paraId="431300F9">
      <w:pPr>
        <w:spacing w:line="360" w:lineRule="auto"/>
        <w:ind w:firstLine="1470" w:firstLineChars="700"/>
        <w:rPr>
          <w:rFonts w:ascii="宋体" w:hAnsi="宋体" w:eastAsia="宋体" w:cs="仿宋"/>
          <w:color w:val="auto"/>
          <w:kern w:val="2"/>
          <w:szCs w:val="21"/>
          <w:highlight w:val="none"/>
        </w:rPr>
      </w:pPr>
      <w:r>
        <w:rPr>
          <w:rFonts w:hint="eastAsia" w:ascii="宋体" w:hAnsi="宋体" w:eastAsia="宋体" w:cs="仿宋"/>
          <w:color w:val="auto"/>
          <w:kern w:val="2"/>
          <w:szCs w:val="21"/>
          <w:highlight w:val="none"/>
        </w:rPr>
        <w:t>法定代表人：</w:t>
      </w:r>
      <w:r>
        <w:rPr>
          <w:rFonts w:hint="eastAsia" w:ascii="宋体" w:hAnsi="宋体" w:eastAsia="宋体" w:cs="仿宋"/>
          <w:color w:val="auto"/>
          <w:kern w:val="2"/>
          <w:szCs w:val="21"/>
          <w:highlight w:val="none"/>
          <w:u w:val="single"/>
        </w:rPr>
        <w:t xml:space="preserve">                         </w:t>
      </w:r>
      <w:r>
        <w:rPr>
          <w:rFonts w:hint="eastAsia" w:ascii="宋体" w:hAnsi="宋体" w:eastAsia="宋体" w:cs="仿宋"/>
          <w:color w:val="auto"/>
          <w:kern w:val="2"/>
          <w:szCs w:val="21"/>
          <w:highlight w:val="none"/>
        </w:rPr>
        <w:t>（签字或盖章）</w:t>
      </w:r>
    </w:p>
    <w:p w14:paraId="1553A4AB">
      <w:pPr>
        <w:widowControl/>
        <w:spacing w:after="240" w:line="360" w:lineRule="auto"/>
        <w:jc w:val="left"/>
        <w:rPr>
          <w:rFonts w:ascii="宋体" w:hAnsi="宋体" w:eastAsia="宋体" w:cs="仿宋"/>
          <w:color w:val="auto"/>
          <w:kern w:val="2"/>
          <w:szCs w:val="21"/>
          <w:highlight w:val="none"/>
          <w:u w:val="single"/>
        </w:rPr>
      </w:pPr>
      <w:r>
        <w:rPr>
          <w:rFonts w:hint="eastAsia" w:ascii="宋体" w:hAnsi="宋体" w:eastAsia="宋体" w:cs="Times New Roman"/>
          <w:color w:val="auto"/>
          <w:kern w:val="0"/>
          <w:szCs w:val="21"/>
          <w:highlight w:val="none"/>
        </w:rPr>
        <w:t xml:space="preserve">              地      址:</w:t>
      </w:r>
      <w:r>
        <w:rPr>
          <w:rFonts w:hint="eastAsia" w:ascii="宋体" w:hAnsi="宋体" w:eastAsia="宋体" w:cs="仿宋"/>
          <w:color w:val="auto"/>
          <w:kern w:val="2"/>
          <w:szCs w:val="21"/>
          <w:highlight w:val="none"/>
          <w:u w:val="single"/>
        </w:rPr>
        <w:t xml:space="preserve">                         </w:t>
      </w:r>
    </w:p>
    <w:p w14:paraId="58C550B2">
      <w:pPr>
        <w:widowControl/>
        <w:spacing w:after="240" w:line="360" w:lineRule="auto"/>
        <w:jc w:val="left"/>
        <w:rPr>
          <w:rFonts w:ascii="宋体" w:hAnsi="宋体" w:eastAsia="宋体" w:cs="仿宋"/>
          <w:color w:val="auto"/>
          <w:kern w:val="2"/>
          <w:szCs w:val="21"/>
          <w:highlight w:val="none"/>
          <w:u w:val="single"/>
        </w:rPr>
      </w:pPr>
      <w:r>
        <w:rPr>
          <w:rFonts w:hint="eastAsia" w:ascii="宋体" w:hAnsi="宋体" w:eastAsia="宋体" w:cs="Times New Roman"/>
          <w:color w:val="auto"/>
          <w:kern w:val="0"/>
          <w:szCs w:val="21"/>
          <w:highlight w:val="none"/>
        </w:rPr>
        <w:t xml:space="preserve">              电      话:</w:t>
      </w:r>
      <w:r>
        <w:rPr>
          <w:rFonts w:hint="eastAsia" w:ascii="宋体" w:hAnsi="宋体" w:eastAsia="宋体" w:cs="仿宋"/>
          <w:color w:val="auto"/>
          <w:kern w:val="2"/>
          <w:szCs w:val="21"/>
          <w:highlight w:val="none"/>
          <w:u w:val="single"/>
        </w:rPr>
        <w:t xml:space="preserve">                         </w:t>
      </w:r>
    </w:p>
    <w:p w14:paraId="62995B28">
      <w:pPr>
        <w:widowControl/>
        <w:spacing w:after="240" w:line="360" w:lineRule="auto"/>
        <w:jc w:val="left"/>
        <w:rPr>
          <w:rFonts w:ascii="宋体" w:hAnsi="宋体" w:eastAsia="宋体" w:cs="仿宋"/>
          <w:color w:val="auto"/>
          <w:kern w:val="2"/>
          <w:szCs w:val="21"/>
          <w:highlight w:val="none"/>
          <w:u w:val="single"/>
        </w:rPr>
      </w:pPr>
      <w:r>
        <w:rPr>
          <w:rFonts w:hint="eastAsia" w:ascii="宋体" w:hAnsi="宋体" w:eastAsia="宋体" w:cs="Times New Roman"/>
          <w:color w:val="auto"/>
          <w:kern w:val="0"/>
          <w:szCs w:val="21"/>
          <w:highlight w:val="none"/>
        </w:rPr>
        <w:t xml:space="preserve">              传      真:</w:t>
      </w:r>
      <w:r>
        <w:rPr>
          <w:rFonts w:hint="eastAsia" w:ascii="宋体" w:hAnsi="宋体" w:eastAsia="宋体" w:cs="仿宋"/>
          <w:color w:val="auto"/>
          <w:kern w:val="2"/>
          <w:szCs w:val="21"/>
          <w:highlight w:val="none"/>
          <w:u w:val="single"/>
        </w:rPr>
        <w:t xml:space="preserve">                         </w:t>
      </w:r>
    </w:p>
    <w:p w14:paraId="40CE6E03">
      <w:pPr>
        <w:widowControl/>
        <w:spacing w:after="240" w:line="360" w:lineRule="auto"/>
        <w:jc w:val="left"/>
        <w:rPr>
          <w:rFonts w:ascii="宋体" w:hAnsi="宋体" w:eastAsia="宋体" w:cs="宋体"/>
          <w:bCs/>
          <w:color w:val="auto"/>
          <w:kern w:val="2"/>
          <w:szCs w:val="21"/>
          <w:highlight w:val="none"/>
        </w:rPr>
      </w:pPr>
      <w:r>
        <w:rPr>
          <w:rFonts w:hint="eastAsia" w:ascii="宋体" w:hAnsi="宋体" w:eastAsia="宋体" w:cs="Times New Roman"/>
          <w:b/>
          <w:bCs/>
          <w:color w:val="auto"/>
          <w:kern w:val="2"/>
          <w:szCs w:val="21"/>
          <w:highlight w:val="none"/>
        </w:rPr>
        <w:tab/>
      </w:r>
      <w:r>
        <w:rPr>
          <w:rFonts w:hint="eastAsia" w:ascii="宋体" w:hAnsi="宋体" w:eastAsia="宋体" w:cs="Times New Roman"/>
          <w:b/>
          <w:bCs/>
          <w:color w:val="auto"/>
          <w:kern w:val="2"/>
          <w:szCs w:val="21"/>
          <w:highlight w:val="none"/>
        </w:rPr>
        <w:tab/>
      </w:r>
      <w:r>
        <w:rPr>
          <w:rFonts w:hint="eastAsia" w:ascii="宋体" w:hAnsi="宋体" w:eastAsia="宋体" w:cs="Times New Roman"/>
          <w:b/>
          <w:bCs/>
          <w:color w:val="auto"/>
          <w:kern w:val="2"/>
          <w:szCs w:val="21"/>
          <w:highlight w:val="none"/>
        </w:rPr>
        <w:tab/>
      </w:r>
      <w:r>
        <w:rPr>
          <w:rFonts w:hint="eastAsia" w:ascii="宋体" w:hAnsi="宋体" w:eastAsia="宋体" w:cs="Times New Roman"/>
          <w:b/>
          <w:bCs/>
          <w:color w:val="auto"/>
          <w:kern w:val="2"/>
          <w:szCs w:val="21"/>
          <w:highlight w:val="none"/>
        </w:rPr>
        <w:tab/>
      </w:r>
      <w:r>
        <w:rPr>
          <w:rFonts w:hint="eastAsia" w:ascii="宋体" w:hAnsi="宋体" w:eastAsia="宋体" w:cs="Times New Roman"/>
          <w:b/>
          <w:bCs/>
          <w:color w:val="auto"/>
          <w:kern w:val="2"/>
          <w:szCs w:val="21"/>
          <w:highlight w:val="none"/>
        </w:rPr>
        <w:tab/>
      </w:r>
      <w:r>
        <w:rPr>
          <w:rFonts w:hint="eastAsia" w:ascii="宋体" w:hAnsi="宋体" w:eastAsia="宋体" w:cs="Times New Roman"/>
          <w:b/>
          <w:bCs/>
          <w:color w:val="auto"/>
          <w:kern w:val="2"/>
          <w:szCs w:val="21"/>
          <w:highlight w:val="none"/>
        </w:rPr>
        <w:tab/>
      </w:r>
      <w:r>
        <w:rPr>
          <w:rFonts w:hint="eastAsia" w:ascii="宋体" w:hAnsi="宋体" w:eastAsia="宋体" w:cs="Times New Roman"/>
          <w:b/>
          <w:bCs/>
          <w:color w:val="auto"/>
          <w:kern w:val="2"/>
          <w:szCs w:val="21"/>
          <w:highlight w:val="none"/>
        </w:rPr>
        <w:tab/>
      </w:r>
      <w:r>
        <w:rPr>
          <w:rFonts w:hint="eastAsia" w:ascii="宋体" w:hAnsi="宋体" w:eastAsia="宋体" w:cs="Times New Roman"/>
          <w:b/>
          <w:bCs/>
          <w:color w:val="auto"/>
          <w:kern w:val="2"/>
          <w:szCs w:val="21"/>
          <w:highlight w:val="none"/>
        </w:rPr>
        <w:tab/>
      </w:r>
      <w:r>
        <w:rPr>
          <w:rFonts w:hint="eastAsia" w:ascii="宋体" w:hAnsi="宋体" w:eastAsia="宋体" w:cs="Times New Roman"/>
          <w:b/>
          <w:bCs/>
          <w:color w:val="auto"/>
          <w:kern w:val="2"/>
          <w:szCs w:val="21"/>
          <w:highlight w:val="none"/>
        </w:rPr>
        <w:t xml:space="preserve">      </w:t>
      </w:r>
      <w:r>
        <w:rPr>
          <w:rFonts w:hint="eastAsia" w:ascii="宋体" w:hAnsi="宋体" w:eastAsia="宋体" w:cs="Times New Roman"/>
          <w:b/>
          <w:bCs/>
          <w:color w:val="auto"/>
          <w:kern w:val="2"/>
          <w:szCs w:val="21"/>
          <w:highlight w:val="none"/>
        </w:rPr>
        <w:tab/>
      </w:r>
      <w:r>
        <w:rPr>
          <w:rFonts w:hint="eastAsia" w:ascii="宋体" w:hAnsi="宋体" w:eastAsia="宋体" w:cs="Times New Roman"/>
          <w:bCs/>
          <w:color w:val="auto"/>
          <w:kern w:val="2"/>
          <w:szCs w:val="21"/>
          <w:highlight w:val="none"/>
          <w:u w:val="single"/>
        </w:rPr>
        <w:tab/>
      </w:r>
      <w:r>
        <w:rPr>
          <w:rFonts w:hint="eastAsia" w:ascii="宋体" w:hAnsi="宋体" w:eastAsia="宋体" w:cs="Times New Roman"/>
          <w:bCs/>
          <w:color w:val="auto"/>
          <w:kern w:val="2"/>
          <w:szCs w:val="21"/>
          <w:highlight w:val="none"/>
        </w:rPr>
        <w:t>年</w:t>
      </w:r>
      <w:r>
        <w:rPr>
          <w:rFonts w:hint="eastAsia" w:ascii="宋体" w:hAnsi="宋体" w:eastAsia="宋体" w:cs="Times New Roman"/>
          <w:bCs/>
          <w:color w:val="auto"/>
          <w:kern w:val="2"/>
          <w:szCs w:val="21"/>
          <w:highlight w:val="none"/>
          <w:u w:val="single"/>
        </w:rPr>
        <w:t xml:space="preserve">    </w:t>
      </w:r>
      <w:r>
        <w:rPr>
          <w:rFonts w:hint="eastAsia" w:ascii="宋体" w:hAnsi="宋体" w:eastAsia="宋体" w:cs="Times New Roman"/>
          <w:bCs/>
          <w:color w:val="auto"/>
          <w:kern w:val="2"/>
          <w:szCs w:val="21"/>
          <w:highlight w:val="none"/>
        </w:rPr>
        <w:t>月</w:t>
      </w:r>
      <w:r>
        <w:rPr>
          <w:rFonts w:hint="eastAsia" w:ascii="宋体" w:hAnsi="宋体" w:eastAsia="宋体" w:cs="Times New Roman"/>
          <w:bCs/>
          <w:color w:val="auto"/>
          <w:kern w:val="2"/>
          <w:szCs w:val="21"/>
          <w:highlight w:val="none"/>
          <w:u w:val="single"/>
        </w:rPr>
        <w:t xml:space="preserve">    </w:t>
      </w:r>
      <w:r>
        <w:rPr>
          <w:rFonts w:hint="eastAsia" w:ascii="宋体" w:hAnsi="宋体" w:eastAsia="宋体" w:cs="Times New Roman"/>
          <w:bCs/>
          <w:color w:val="auto"/>
          <w:kern w:val="2"/>
          <w:szCs w:val="21"/>
          <w:highlight w:val="none"/>
        </w:rPr>
        <w:t>日</w:t>
      </w:r>
    </w:p>
    <w:p w14:paraId="58E4E2A8">
      <w:pPr>
        <w:snapToGrid w:val="0"/>
        <w:spacing w:line="360" w:lineRule="auto"/>
        <w:jc w:val="center"/>
        <w:rPr>
          <w:rFonts w:ascii="宋体" w:hAnsi="宋体" w:eastAsia="宋体" w:cs="Times New Roman"/>
          <w:color w:val="auto"/>
          <w:kern w:val="0"/>
          <w:sz w:val="24"/>
          <w:szCs w:val="20"/>
          <w:highlight w:val="none"/>
        </w:rPr>
      </w:pPr>
    </w:p>
    <w:p w14:paraId="4B3C5E83">
      <w:pPr>
        <w:snapToGrid w:val="0"/>
        <w:spacing w:line="360" w:lineRule="auto"/>
        <w:jc w:val="center"/>
        <w:rPr>
          <w:rFonts w:ascii="宋体" w:hAnsi="宋体" w:eastAsia="宋体" w:cs="Times New Roman"/>
          <w:b/>
          <w:color w:val="auto"/>
          <w:kern w:val="0"/>
          <w:sz w:val="32"/>
          <w:szCs w:val="20"/>
          <w:highlight w:val="none"/>
        </w:rPr>
      </w:pPr>
    </w:p>
    <w:p w14:paraId="27429353">
      <w:pPr>
        <w:snapToGrid w:val="0"/>
        <w:spacing w:line="360" w:lineRule="auto"/>
        <w:jc w:val="center"/>
        <w:rPr>
          <w:rFonts w:ascii="宋体" w:hAnsi="宋体" w:eastAsia="宋体" w:cs="Times New Roman"/>
          <w:b/>
          <w:color w:val="auto"/>
          <w:kern w:val="0"/>
          <w:sz w:val="32"/>
          <w:szCs w:val="20"/>
          <w:highlight w:val="none"/>
        </w:rPr>
      </w:pPr>
    </w:p>
    <w:p w14:paraId="6F7878FC">
      <w:pPr>
        <w:snapToGrid w:val="0"/>
        <w:spacing w:line="360" w:lineRule="auto"/>
        <w:jc w:val="center"/>
        <w:rPr>
          <w:rFonts w:ascii="宋体" w:hAnsi="宋体" w:eastAsia="宋体" w:cs="Times New Roman"/>
          <w:b/>
          <w:color w:val="auto"/>
          <w:kern w:val="0"/>
          <w:sz w:val="32"/>
          <w:szCs w:val="20"/>
          <w:highlight w:val="none"/>
        </w:rPr>
      </w:pPr>
    </w:p>
    <w:p w14:paraId="5116F32F">
      <w:pPr>
        <w:widowControl w:val="0"/>
        <w:spacing w:line="360" w:lineRule="auto"/>
        <w:ind w:left="0"/>
        <w:jc w:val="both"/>
        <w:rPr>
          <w:rFonts w:ascii="宋体" w:hAnsi="宋体" w:eastAsia="宋体" w:cs="Times New Roman"/>
          <w:color w:val="auto"/>
          <w:sz w:val="20"/>
          <w:highlight w:val="none"/>
          <w:lang w:val="en-US" w:eastAsia="zh-CN" w:bidi="ar-SA"/>
        </w:rPr>
      </w:pPr>
    </w:p>
    <w:p w14:paraId="53CB5BE1">
      <w:pPr>
        <w:widowControl w:val="0"/>
        <w:spacing w:line="360" w:lineRule="auto"/>
        <w:ind w:left="0"/>
        <w:jc w:val="both"/>
        <w:rPr>
          <w:rFonts w:ascii="宋体" w:hAnsi="宋体" w:eastAsia="宋体" w:cs="Times New Roman"/>
          <w:color w:val="auto"/>
          <w:sz w:val="20"/>
          <w:highlight w:val="none"/>
          <w:lang w:val="en-US" w:eastAsia="zh-CN" w:bidi="ar-SA"/>
        </w:rPr>
      </w:pPr>
    </w:p>
    <w:p w14:paraId="27C42BD9">
      <w:pPr>
        <w:rPr>
          <w:rFonts w:ascii="Times New Roman" w:hAnsi="Times New Roman" w:eastAsia="宋体" w:cs="Times New Roman"/>
          <w:color w:val="auto"/>
          <w:kern w:val="0"/>
          <w:szCs w:val="20"/>
          <w:highlight w:val="none"/>
        </w:rPr>
      </w:pPr>
    </w:p>
    <w:p w14:paraId="708483A5">
      <w:pPr>
        <w:widowControl w:val="0"/>
        <w:autoSpaceDE w:val="0"/>
        <w:autoSpaceDN w:val="0"/>
        <w:adjustRightInd w:val="0"/>
        <w:spacing w:after="120"/>
        <w:ind w:left="420" w:firstLine="420"/>
        <w:jc w:val="left"/>
        <w:rPr>
          <w:rFonts w:ascii="Calibri" w:hAnsi="Calibri" w:eastAsia="宋体" w:cs="Times New Roman"/>
          <w:color w:val="auto"/>
          <w:sz w:val="20"/>
          <w:highlight w:val="none"/>
          <w:lang w:val="en-US" w:eastAsia="zh-CN" w:bidi="ar-SA"/>
        </w:rPr>
      </w:pPr>
    </w:p>
    <w:p w14:paraId="7AFD3CB5">
      <w:pPr>
        <w:snapToGrid w:val="0"/>
        <w:spacing w:line="360" w:lineRule="auto"/>
        <w:jc w:val="center"/>
        <w:rPr>
          <w:rFonts w:ascii="宋体" w:hAnsi="宋体" w:eastAsia="宋体" w:cs="Times New Roman"/>
          <w:b/>
          <w:color w:val="auto"/>
          <w:kern w:val="0"/>
          <w:sz w:val="32"/>
          <w:szCs w:val="20"/>
          <w:highlight w:val="none"/>
        </w:rPr>
      </w:pPr>
      <w:r>
        <w:rPr>
          <w:rFonts w:hint="eastAsia" w:ascii="宋体" w:hAnsi="宋体" w:eastAsia="宋体" w:cs="Times New Roman"/>
          <w:b/>
          <w:color w:val="auto"/>
          <w:kern w:val="0"/>
          <w:sz w:val="32"/>
          <w:szCs w:val="20"/>
          <w:highlight w:val="none"/>
        </w:rPr>
        <w:t>三、供应商的资格证明资料</w:t>
      </w:r>
    </w:p>
    <w:p w14:paraId="3C965890">
      <w:pPr>
        <w:snapToGrid w:val="0"/>
        <w:spacing w:line="360" w:lineRule="auto"/>
        <w:rPr>
          <w:rFonts w:ascii="宋体" w:hAnsi="宋体" w:eastAsia="宋体" w:cs="Times New Roman"/>
          <w:color w:val="auto"/>
          <w:kern w:val="0"/>
          <w:sz w:val="30"/>
          <w:szCs w:val="20"/>
          <w:highlight w:val="none"/>
        </w:rPr>
      </w:pPr>
      <w:r>
        <w:rPr>
          <w:rFonts w:hint="eastAsia" w:ascii="宋体" w:hAnsi="宋体" w:eastAsia="宋体" w:cs="Times New Roman"/>
          <w:color w:val="auto"/>
          <w:kern w:val="0"/>
          <w:sz w:val="30"/>
          <w:szCs w:val="20"/>
          <w:highlight w:val="none"/>
        </w:rPr>
        <w:t>附件</w:t>
      </w:r>
      <w:r>
        <w:rPr>
          <w:rFonts w:hint="eastAsia" w:ascii="宋体" w:hAnsi="宋体" w:cs="Times New Roman"/>
          <w:color w:val="auto"/>
          <w:kern w:val="0"/>
          <w:sz w:val="30"/>
          <w:szCs w:val="20"/>
          <w:highlight w:val="none"/>
          <w:lang w:val="en-US" w:eastAsia="zh-CN"/>
        </w:rPr>
        <w:t>5</w:t>
      </w:r>
      <w:r>
        <w:rPr>
          <w:rFonts w:hint="eastAsia" w:ascii="宋体" w:hAnsi="宋体" w:eastAsia="宋体" w:cs="Times New Roman"/>
          <w:color w:val="auto"/>
          <w:kern w:val="0"/>
          <w:sz w:val="30"/>
          <w:szCs w:val="20"/>
          <w:highlight w:val="none"/>
        </w:rPr>
        <w:t xml:space="preserve">             供应商基本情况表</w:t>
      </w:r>
    </w:p>
    <w:p w14:paraId="45CC9278">
      <w:pPr>
        <w:snapToGrid w:val="0"/>
        <w:spacing w:line="360" w:lineRule="auto"/>
        <w:rPr>
          <w:rFonts w:ascii="宋体" w:hAnsi="宋体" w:eastAsia="宋体" w:cs="Times New Roman"/>
          <w:color w:val="auto"/>
          <w:kern w:val="0"/>
          <w:sz w:val="30"/>
          <w:szCs w:val="20"/>
          <w:highlight w:val="none"/>
        </w:rPr>
      </w:pPr>
    </w:p>
    <w:p w14:paraId="613FB642">
      <w:pPr>
        <w:snapToGrid w:val="0"/>
        <w:spacing w:line="360" w:lineRule="auto"/>
        <w:rPr>
          <w:rFonts w:ascii="宋体" w:hAnsi="宋体" w:eastAsia="宋体" w:cs="Times New Roman"/>
          <w:b/>
          <w:color w:val="auto"/>
          <w:kern w:val="0"/>
          <w:szCs w:val="20"/>
          <w:highlight w:val="none"/>
        </w:rPr>
      </w:pPr>
      <w:r>
        <w:rPr>
          <w:rFonts w:hint="eastAsia" w:ascii="宋体" w:hAnsi="宋体" w:eastAsia="宋体" w:cs="Times New Roman"/>
          <w:b/>
          <w:color w:val="auto"/>
          <w:kern w:val="0"/>
          <w:szCs w:val="20"/>
          <w:highlight w:val="none"/>
        </w:rPr>
        <w:t>盖供应商单位章</w:t>
      </w:r>
    </w:p>
    <w:tbl>
      <w:tblPr>
        <w:tblStyle w:val="26"/>
        <w:tblW w:w="0" w:type="auto"/>
        <w:tblInd w:w="108" w:type="dxa"/>
        <w:tblLayout w:type="fixed"/>
        <w:tblCellMar>
          <w:top w:w="0" w:type="dxa"/>
          <w:left w:w="0" w:type="dxa"/>
          <w:bottom w:w="0" w:type="dxa"/>
          <w:right w:w="0" w:type="dxa"/>
        </w:tblCellMar>
      </w:tblPr>
      <w:tblGrid>
        <w:gridCol w:w="719"/>
        <w:gridCol w:w="539"/>
        <w:gridCol w:w="362"/>
        <w:gridCol w:w="1143"/>
        <w:gridCol w:w="850"/>
        <w:gridCol w:w="590"/>
        <w:gridCol w:w="294"/>
        <w:gridCol w:w="1083"/>
        <w:gridCol w:w="1329"/>
        <w:gridCol w:w="1911"/>
      </w:tblGrid>
      <w:tr w14:paraId="1A8EA24B">
        <w:tblPrEx>
          <w:tblCellMar>
            <w:top w:w="0" w:type="dxa"/>
            <w:left w:w="0" w:type="dxa"/>
            <w:bottom w:w="0" w:type="dxa"/>
            <w:right w:w="0" w:type="dxa"/>
          </w:tblCellMar>
        </w:tblPrEx>
        <w:trPr>
          <w:trHeight w:val="561" w:hRule="atLeast"/>
        </w:trPr>
        <w:tc>
          <w:tcPr>
            <w:tcW w:w="1620" w:type="dxa"/>
            <w:gridSpan w:val="3"/>
            <w:tcBorders>
              <w:top w:val="double" w:color="000000" w:sz="4"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68968396">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供应商</w:t>
            </w:r>
            <w:r>
              <w:rPr>
                <w:rFonts w:ascii="宋体" w:hAnsi="宋体" w:eastAsia="宋体" w:cs="Times New Roman"/>
                <w:color w:val="auto"/>
                <w:kern w:val="0"/>
                <w:szCs w:val="20"/>
                <w:highlight w:val="none"/>
              </w:rPr>
              <w:t>名称</w:t>
            </w:r>
          </w:p>
        </w:tc>
        <w:tc>
          <w:tcPr>
            <w:tcW w:w="3960" w:type="dxa"/>
            <w:gridSpan w:val="5"/>
            <w:tcBorders>
              <w:top w:val="double" w:color="000000" w:sz="4"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253D7B85">
            <w:pPr>
              <w:snapToGrid w:val="0"/>
              <w:spacing w:line="360" w:lineRule="auto"/>
              <w:jc w:val="center"/>
              <w:rPr>
                <w:rFonts w:ascii="宋体" w:hAnsi="宋体" w:eastAsia="宋体" w:cs="Times New Roman"/>
                <w:color w:val="auto"/>
                <w:kern w:val="0"/>
                <w:szCs w:val="20"/>
                <w:highlight w:val="none"/>
              </w:rPr>
            </w:pPr>
          </w:p>
        </w:tc>
        <w:tc>
          <w:tcPr>
            <w:tcW w:w="1329" w:type="dxa"/>
            <w:tcBorders>
              <w:top w:val="double" w:color="000000" w:sz="4"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33F23A6A">
            <w:pPr>
              <w:snapToGrid w:val="0"/>
              <w:spacing w:line="360" w:lineRule="auto"/>
              <w:jc w:val="center"/>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t>法定代表人</w:t>
            </w:r>
          </w:p>
        </w:tc>
        <w:tc>
          <w:tcPr>
            <w:tcW w:w="1911" w:type="dxa"/>
            <w:tcBorders>
              <w:top w:val="double" w:color="000000" w:sz="4"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797E8CEE">
            <w:pPr>
              <w:snapToGrid w:val="0"/>
              <w:spacing w:line="360" w:lineRule="auto"/>
              <w:jc w:val="center"/>
              <w:rPr>
                <w:rFonts w:ascii="宋体" w:hAnsi="宋体" w:eastAsia="宋体" w:cs="Times New Roman"/>
                <w:color w:val="auto"/>
                <w:kern w:val="0"/>
                <w:szCs w:val="20"/>
                <w:highlight w:val="none"/>
              </w:rPr>
            </w:pPr>
          </w:p>
        </w:tc>
      </w:tr>
      <w:tr w14:paraId="5980C831">
        <w:tblPrEx>
          <w:tblCellMar>
            <w:top w:w="0" w:type="dxa"/>
            <w:left w:w="0" w:type="dxa"/>
            <w:bottom w:w="0" w:type="dxa"/>
            <w:right w:w="0" w:type="dxa"/>
          </w:tblCellMar>
        </w:tblPrEx>
        <w:trPr>
          <w:trHeight w:val="611" w:hRule="atLeast"/>
        </w:trPr>
        <w:tc>
          <w:tcPr>
            <w:tcW w:w="1620" w:type="dxa"/>
            <w:gridSpan w:val="3"/>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39B15CE0">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委托代理</w:t>
            </w:r>
            <w:r>
              <w:rPr>
                <w:rFonts w:ascii="宋体" w:hAnsi="宋体" w:eastAsia="宋体" w:cs="Times New Roman"/>
                <w:color w:val="auto"/>
                <w:kern w:val="0"/>
                <w:szCs w:val="20"/>
                <w:highlight w:val="none"/>
              </w:rPr>
              <w:t>人</w:t>
            </w:r>
          </w:p>
        </w:tc>
        <w:tc>
          <w:tcPr>
            <w:tcW w:w="3960" w:type="dxa"/>
            <w:gridSpan w:val="5"/>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54CB9D25">
            <w:pPr>
              <w:snapToGrid w:val="0"/>
              <w:spacing w:line="360" w:lineRule="auto"/>
              <w:jc w:val="center"/>
              <w:rPr>
                <w:rFonts w:ascii="宋体" w:hAnsi="宋体" w:eastAsia="宋体" w:cs="Times New Roman"/>
                <w:color w:val="auto"/>
                <w:kern w:val="0"/>
                <w:szCs w:val="20"/>
                <w:highlight w:val="none"/>
              </w:rPr>
            </w:pPr>
          </w:p>
        </w:tc>
        <w:tc>
          <w:tcPr>
            <w:tcW w:w="1329"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528F07AB">
            <w:pPr>
              <w:snapToGrid w:val="0"/>
              <w:spacing w:line="360" w:lineRule="auto"/>
              <w:jc w:val="center"/>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t>邮政编码</w:t>
            </w:r>
          </w:p>
        </w:tc>
        <w:tc>
          <w:tcPr>
            <w:tcW w:w="1911" w:type="dxa"/>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297D2E9E">
            <w:pPr>
              <w:snapToGrid w:val="0"/>
              <w:spacing w:line="360" w:lineRule="auto"/>
              <w:jc w:val="center"/>
              <w:rPr>
                <w:rFonts w:ascii="宋体" w:hAnsi="宋体" w:eastAsia="宋体" w:cs="Times New Roman"/>
                <w:color w:val="auto"/>
                <w:kern w:val="0"/>
                <w:szCs w:val="20"/>
                <w:highlight w:val="none"/>
              </w:rPr>
            </w:pPr>
          </w:p>
        </w:tc>
      </w:tr>
      <w:tr w14:paraId="1C0EA738">
        <w:tblPrEx>
          <w:tblCellMar>
            <w:top w:w="0" w:type="dxa"/>
            <w:left w:w="0" w:type="dxa"/>
            <w:bottom w:w="0" w:type="dxa"/>
            <w:right w:w="0" w:type="dxa"/>
          </w:tblCellMar>
        </w:tblPrEx>
        <w:trPr>
          <w:trHeight w:val="608" w:hRule="atLeast"/>
        </w:trPr>
        <w:tc>
          <w:tcPr>
            <w:tcW w:w="1620" w:type="dxa"/>
            <w:gridSpan w:val="3"/>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28587191">
            <w:pPr>
              <w:snapToGrid w:val="0"/>
              <w:spacing w:line="360" w:lineRule="auto"/>
              <w:jc w:val="center"/>
              <w:rPr>
                <w:rFonts w:ascii="宋体" w:hAnsi="宋体" w:eastAsia="宋体" w:cs="Times New Roman"/>
                <w:color w:val="auto"/>
                <w:kern w:val="0"/>
                <w:szCs w:val="20"/>
                <w:highlight w:val="none"/>
              </w:rPr>
            </w:pPr>
          </w:p>
        </w:tc>
        <w:tc>
          <w:tcPr>
            <w:tcW w:w="3960" w:type="dxa"/>
            <w:gridSpan w:val="5"/>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5623E264">
            <w:pPr>
              <w:snapToGrid w:val="0"/>
              <w:spacing w:line="360" w:lineRule="auto"/>
              <w:jc w:val="center"/>
              <w:rPr>
                <w:rFonts w:ascii="宋体" w:hAnsi="宋体" w:eastAsia="宋体" w:cs="Times New Roman"/>
                <w:color w:val="auto"/>
                <w:kern w:val="0"/>
                <w:szCs w:val="20"/>
                <w:highlight w:val="none"/>
              </w:rPr>
            </w:pPr>
          </w:p>
        </w:tc>
        <w:tc>
          <w:tcPr>
            <w:tcW w:w="1329"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6A3CBA4C">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电子邮箱</w:t>
            </w:r>
          </w:p>
        </w:tc>
        <w:tc>
          <w:tcPr>
            <w:tcW w:w="1911" w:type="dxa"/>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77D29AB8">
            <w:pPr>
              <w:snapToGrid w:val="0"/>
              <w:spacing w:line="360" w:lineRule="auto"/>
              <w:jc w:val="center"/>
              <w:rPr>
                <w:rFonts w:ascii="宋体" w:hAnsi="宋体" w:eastAsia="宋体" w:cs="Times New Roman"/>
                <w:color w:val="auto"/>
                <w:kern w:val="0"/>
                <w:szCs w:val="20"/>
                <w:highlight w:val="none"/>
              </w:rPr>
            </w:pPr>
          </w:p>
        </w:tc>
      </w:tr>
      <w:tr w14:paraId="0B3DA8F3">
        <w:tblPrEx>
          <w:tblCellMar>
            <w:top w:w="0" w:type="dxa"/>
            <w:left w:w="0" w:type="dxa"/>
            <w:bottom w:w="0" w:type="dxa"/>
            <w:right w:w="0" w:type="dxa"/>
          </w:tblCellMar>
        </w:tblPrEx>
        <w:trPr>
          <w:trHeight w:val="608" w:hRule="atLeast"/>
        </w:trPr>
        <w:tc>
          <w:tcPr>
            <w:tcW w:w="1620" w:type="dxa"/>
            <w:gridSpan w:val="3"/>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72BD9407">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上年营业收入</w:t>
            </w:r>
          </w:p>
        </w:tc>
        <w:tc>
          <w:tcPr>
            <w:tcW w:w="3960" w:type="dxa"/>
            <w:gridSpan w:val="5"/>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4E8525F4">
            <w:pPr>
              <w:snapToGrid w:val="0"/>
              <w:spacing w:line="360" w:lineRule="auto"/>
              <w:jc w:val="center"/>
              <w:rPr>
                <w:rFonts w:ascii="宋体" w:hAnsi="宋体" w:eastAsia="宋体" w:cs="Times New Roman"/>
                <w:color w:val="auto"/>
                <w:kern w:val="0"/>
                <w:szCs w:val="20"/>
                <w:highlight w:val="none"/>
              </w:rPr>
            </w:pPr>
          </w:p>
        </w:tc>
        <w:tc>
          <w:tcPr>
            <w:tcW w:w="1329"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4463711E">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员工总人数</w:t>
            </w:r>
          </w:p>
        </w:tc>
        <w:tc>
          <w:tcPr>
            <w:tcW w:w="1911" w:type="dxa"/>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5547FE63">
            <w:pPr>
              <w:snapToGrid w:val="0"/>
              <w:spacing w:line="360" w:lineRule="auto"/>
              <w:jc w:val="center"/>
              <w:rPr>
                <w:rFonts w:ascii="宋体" w:hAnsi="宋体" w:eastAsia="宋体" w:cs="Times New Roman"/>
                <w:color w:val="auto"/>
                <w:kern w:val="0"/>
                <w:szCs w:val="20"/>
                <w:highlight w:val="none"/>
              </w:rPr>
            </w:pPr>
          </w:p>
        </w:tc>
      </w:tr>
      <w:tr w14:paraId="7ABC6F1E">
        <w:tblPrEx>
          <w:tblCellMar>
            <w:top w:w="0" w:type="dxa"/>
            <w:left w:w="0" w:type="dxa"/>
            <w:bottom w:w="0" w:type="dxa"/>
            <w:right w:w="0" w:type="dxa"/>
          </w:tblCellMar>
        </w:tblPrEx>
        <w:trPr>
          <w:trHeight w:val="624" w:hRule="atLeast"/>
        </w:trPr>
        <w:tc>
          <w:tcPr>
            <w:tcW w:w="719" w:type="dxa"/>
            <w:vMerge w:val="restart"/>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7DF7E74A">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营业执照</w:t>
            </w:r>
          </w:p>
        </w:tc>
        <w:tc>
          <w:tcPr>
            <w:tcW w:w="2044" w:type="dxa"/>
            <w:gridSpan w:val="3"/>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31B80202">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注册号码</w:t>
            </w:r>
          </w:p>
        </w:tc>
        <w:tc>
          <w:tcPr>
            <w:tcW w:w="1440" w:type="dxa"/>
            <w:gridSpan w:val="2"/>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7D599D16">
            <w:pPr>
              <w:snapToGrid w:val="0"/>
              <w:spacing w:line="360" w:lineRule="auto"/>
              <w:jc w:val="center"/>
              <w:rPr>
                <w:rFonts w:ascii="宋体" w:hAnsi="宋体" w:eastAsia="宋体" w:cs="Times New Roman"/>
                <w:color w:val="auto"/>
                <w:kern w:val="0"/>
                <w:szCs w:val="20"/>
                <w:highlight w:val="none"/>
              </w:rPr>
            </w:pPr>
          </w:p>
        </w:tc>
        <w:tc>
          <w:tcPr>
            <w:tcW w:w="1377" w:type="dxa"/>
            <w:gridSpan w:val="2"/>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5F6B41BD">
            <w:pPr>
              <w:snapToGrid w:val="0"/>
              <w:spacing w:line="360" w:lineRule="auto"/>
              <w:ind w:firstLine="105"/>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注册地址</w:t>
            </w:r>
          </w:p>
        </w:tc>
        <w:tc>
          <w:tcPr>
            <w:tcW w:w="3240" w:type="dxa"/>
            <w:gridSpan w:val="2"/>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219A3312">
            <w:pPr>
              <w:snapToGrid w:val="0"/>
              <w:spacing w:line="360" w:lineRule="auto"/>
              <w:ind w:firstLine="105"/>
              <w:jc w:val="center"/>
              <w:rPr>
                <w:rFonts w:ascii="宋体" w:hAnsi="宋体" w:eastAsia="宋体" w:cs="Times New Roman"/>
                <w:color w:val="auto"/>
                <w:kern w:val="0"/>
                <w:szCs w:val="20"/>
                <w:highlight w:val="none"/>
              </w:rPr>
            </w:pPr>
          </w:p>
        </w:tc>
      </w:tr>
      <w:tr w14:paraId="11D16933">
        <w:tblPrEx>
          <w:tblCellMar>
            <w:top w:w="0" w:type="dxa"/>
            <w:left w:w="0" w:type="dxa"/>
            <w:bottom w:w="0" w:type="dxa"/>
            <w:right w:w="0" w:type="dxa"/>
          </w:tblCellMar>
        </w:tblPrEx>
        <w:trPr>
          <w:trHeight w:val="624" w:hRule="atLeast"/>
        </w:trPr>
        <w:tc>
          <w:tcPr>
            <w:tcW w:w="719" w:type="dxa"/>
            <w:vMerge w:val="continue"/>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624D61EA">
            <w:pPr>
              <w:snapToGrid w:val="0"/>
              <w:spacing w:line="360" w:lineRule="auto"/>
              <w:ind w:firstLine="105"/>
              <w:jc w:val="center"/>
              <w:rPr>
                <w:rFonts w:ascii="宋体" w:hAnsi="宋体" w:eastAsia="宋体" w:cs="Times New Roman"/>
                <w:color w:val="auto"/>
                <w:kern w:val="0"/>
                <w:szCs w:val="20"/>
                <w:highlight w:val="none"/>
              </w:rPr>
            </w:pPr>
          </w:p>
        </w:tc>
        <w:tc>
          <w:tcPr>
            <w:tcW w:w="2044" w:type="dxa"/>
            <w:gridSpan w:val="3"/>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34B18A5B">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发证机关</w:t>
            </w:r>
          </w:p>
        </w:tc>
        <w:tc>
          <w:tcPr>
            <w:tcW w:w="1440" w:type="dxa"/>
            <w:gridSpan w:val="2"/>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5AFC3D86">
            <w:pPr>
              <w:snapToGrid w:val="0"/>
              <w:spacing w:line="360" w:lineRule="auto"/>
              <w:jc w:val="center"/>
              <w:rPr>
                <w:rFonts w:ascii="宋体" w:hAnsi="宋体" w:eastAsia="宋体" w:cs="Times New Roman"/>
                <w:color w:val="auto"/>
                <w:kern w:val="0"/>
                <w:szCs w:val="20"/>
                <w:highlight w:val="none"/>
              </w:rPr>
            </w:pPr>
          </w:p>
        </w:tc>
        <w:tc>
          <w:tcPr>
            <w:tcW w:w="1377" w:type="dxa"/>
            <w:gridSpan w:val="2"/>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1EE4670C">
            <w:pPr>
              <w:snapToGrid w:val="0"/>
              <w:spacing w:line="360" w:lineRule="auto"/>
              <w:ind w:firstLine="105"/>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发证日期</w:t>
            </w:r>
          </w:p>
        </w:tc>
        <w:tc>
          <w:tcPr>
            <w:tcW w:w="3240" w:type="dxa"/>
            <w:gridSpan w:val="2"/>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7FF615DE">
            <w:pPr>
              <w:snapToGrid w:val="0"/>
              <w:spacing w:line="360" w:lineRule="auto"/>
              <w:ind w:firstLine="105"/>
              <w:jc w:val="center"/>
              <w:rPr>
                <w:rFonts w:ascii="宋体" w:hAnsi="宋体" w:eastAsia="宋体" w:cs="Times New Roman"/>
                <w:color w:val="auto"/>
                <w:kern w:val="0"/>
                <w:szCs w:val="20"/>
                <w:highlight w:val="none"/>
              </w:rPr>
            </w:pPr>
          </w:p>
        </w:tc>
      </w:tr>
      <w:tr w14:paraId="23F3CCA6">
        <w:tblPrEx>
          <w:tblCellMar>
            <w:top w:w="0" w:type="dxa"/>
            <w:left w:w="0" w:type="dxa"/>
            <w:bottom w:w="0" w:type="dxa"/>
            <w:right w:w="0" w:type="dxa"/>
          </w:tblCellMar>
        </w:tblPrEx>
        <w:trPr>
          <w:trHeight w:val="624" w:hRule="atLeast"/>
        </w:trPr>
        <w:tc>
          <w:tcPr>
            <w:tcW w:w="719" w:type="dxa"/>
            <w:vMerge w:val="continue"/>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6C91A101">
            <w:pPr>
              <w:snapToGrid w:val="0"/>
              <w:spacing w:line="360" w:lineRule="auto"/>
              <w:ind w:firstLine="105"/>
              <w:jc w:val="center"/>
              <w:rPr>
                <w:rFonts w:ascii="宋体" w:hAnsi="宋体" w:eastAsia="宋体" w:cs="Times New Roman"/>
                <w:color w:val="auto"/>
                <w:kern w:val="0"/>
                <w:szCs w:val="20"/>
                <w:highlight w:val="none"/>
              </w:rPr>
            </w:pPr>
          </w:p>
        </w:tc>
        <w:tc>
          <w:tcPr>
            <w:tcW w:w="2044" w:type="dxa"/>
            <w:gridSpan w:val="3"/>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6A060E5B">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营业范围（主营）</w:t>
            </w:r>
          </w:p>
        </w:tc>
        <w:tc>
          <w:tcPr>
            <w:tcW w:w="6057" w:type="dxa"/>
            <w:gridSpan w:val="6"/>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78CC3EFF">
            <w:pPr>
              <w:snapToGrid w:val="0"/>
              <w:spacing w:line="360" w:lineRule="auto"/>
              <w:ind w:firstLine="105"/>
              <w:jc w:val="center"/>
              <w:rPr>
                <w:rFonts w:ascii="宋体" w:hAnsi="宋体" w:eastAsia="宋体" w:cs="Times New Roman"/>
                <w:color w:val="auto"/>
                <w:kern w:val="0"/>
                <w:szCs w:val="20"/>
                <w:highlight w:val="none"/>
              </w:rPr>
            </w:pPr>
          </w:p>
        </w:tc>
      </w:tr>
      <w:tr w14:paraId="53E6AB38">
        <w:tblPrEx>
          <w:tblCellMar>
            <w:top w:w="0" w:type="dxa"/>
            <w:left w:w="0" w:type="dxa"/>
            <w:bottom w:w="0" w:type="dxa"/>
            <w:right w:w="0" w:type="dxa"/>
          </w:tblCellMar>
        </w:tblPrEx>
        <w:trPr>
          <w:trHeight w:val="624" w:hRule="atLeast"/>
        </w:trPr>
        <w:tc>
          <w:tcPr>
            <w:tcW w:w="719" w:type="dxa"/>
            <w:vMerge w:val="continue"/>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49295E29">
            <w:pPr>
              <w:snapToGrid w:val="0"/>
              <w:spacing w:line="360" w:lineRule="auto"/>
              <w:ind w:firstLine="105"/>
              <w:jc w:val="center"/>
              <w:rPr>
                <w:rFonts w:ascii="宋体" w:hAnsi="宋体" w:eastAsia="宋体" w:cs="Times New Roman"/>
                <w:color w:val="auto"/>
                <w:kern w:val="0"/>
                <w:szCs w:val="20"/>
                <w:highlight w:val="none"/>
              </w:rPr>
            </w:pPr>
          </w:p>
        </w:tc>
        <w:tc>
          <w:tcPr>
            <w:tcW w:w="2044" w:type="dxa"/>
            <w:gridSpan w:val="3"/>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702F950D">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营业范围（兼营）</w:t>
            </w:r>
          </w:p>
        </w:tc>
        <w:tc>
          <w:tcPr>
            <w:tcW w:w="6057" w:type="dxa"/>
            <w:gridSpan w:val="6"/>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336B6AAA">
            <w:pPr>
              <w:snapToGrid w:val="0"/>
              <w:spacing w:line="360" w:lineRule="auto"/>
              <w:ind w:firstLine="105"/>
              <w:jc w:val="center"/>
              <w:rPr>
                <w:rFonts w:ascii="宋体" w:hAnsi="宋体" w:eastAsia="宋体" w:cs="Times New Roman"/>
                <w:color w:val="auto"/>
                <w:kern w:val="0"/>
                <w:szCs w:val="20"/>
                <w:highlight w:val="none"/>
              </w:rPr>
            </w:pPr>
          </w:p>
        </w:tc>
      </w:tr>
      <w:tr w14:paraId="138C87EC">
        <w:tblPrEx>
          <w:tblCellMar>
            <w:top w:w="0" w:type="dxa"/>
            <w:left w:w="0" w:type="dxa"/>
            <w:bottom w:w="0" w:type="dxa"/>
            <w:right w:w="0" w:type="dxa"/>
          </w:tblCellMar>
        </w:tblPrEx>
        <w:trPr>
          <w:trHeight w:val="658" w:hRule="atLeast"/>
        </w:trPr>
        <w:tc>
          <w:tcPr>
            <w:tcW w:w="2763" w:type="dxa"/>
            <w:gridSpan w:val="4"/>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1C5CA968">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基本账户开户行及账号</w:t>
            </w:r>
          </w:p>
        </w:tc>
        <w:tc>
          <w:tcPr>
            <w:tcW w:w="6057" w:type="dxa"/>
            <w:gridSpan w:val="6"/>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5C123A9D">
            <w:pPr>
              <w:snapToGrid w:val="0"/>
              <w:spacing w:line="360" w:lineRule="auto"/>
              <w:jc w:val="center"/>
              <w:rPr>
                <w:rFonts w:ascii="宋体" w:hAnsi="宋体" w:eastAsia="宋体" w:cs="Times New Roman"/>
                <w:color w:val="auto"/>
                <w:kern w:val="0"/>
                <w:szCs w:val="20"/>
                <w:highlight w:val="none"/>
              </w:rPr>
            </w:pPr>
          </w:p>
        </w:tc>
      </w:tr>
      <w:tr w14:paraId="27203232">
        <w:tblPrEx>
          <w:tblCellMar>
            <w:top w:w="0" w:type="dxa"/>
            <w:left w:w="0" w:type="dxa"/>
            <w:bottom w:w="0" w:type="dxa"/>
            <w:right w:w="0" w:type="dxa"/>
          </w:tblCellMar>
        </w:tblPrEx>
        <w:trPr>
          <w:trHeight w:val="658" w:hRule="atLeast"/>
        </w:trPr>
        <w:tc>
          <w:tcPr>
            <w:tcW w:w="2763" w:type="dxa"/>
            <w:gridSpan w:val="4"/>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298E22DF">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税务登记机关</w:t>
            </w:r>
          </w:p>
        </w:tc>
        <w:tc>
          <w:tcPr>
            <w:tcW w:w="6057" w:type="dxa"/>
            <w:gridSpan w:val="6"/>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3BBE93FE">
            <w:pPr>
              <w:snapToGrid w:val="0"/>
              <w:spacing w:line="360" w:lineRule="auto"/>
              <w:jc w:val="center"/>
              <w:rPr>
                <w:rFonts w:ascii="宋体" w:hAnsi="宋体" w:eastAsia="宋体" w:cs="Times New Roman"/>
                <w:color w:val="auto"/>
                <w:kern w:val="0"/>
                <w:szCs w:val="20"/>
                <w:highlight w:val="none"/>
              </w:rPr>
            </w:pPr>
          </w:p>
        </w:tc>
      </w:tr>
      <w:tr w14:paraId="55C3AA32">
        <w:tblPrEx>
          <w:tblCellMar>
            <w:top w:w="0" w:type="dxa"/>
            <w:left w:w="0" w:type="dxa"/>
            <w:bottom w:w="0" w:type="dxa"/>
            <w:right w:w="0" w:type="dxa"/>
          </w:tblCellMar>
        </w:tblPrEx>
        <w:trPr>
          <w:trHeight w:val="604" w:hRule="atLeast"/>
        </w:trPr>
        <w:tc>
          <w:tcPr>
            <w:tcW w:w="3613" w:type="dxa"/>
            <w:gridSpan w:val="5"/>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7F4D8550">
            <w:pPr>
              <w:snapToGrid w:val="0"/>
              <w:spacing w:line="360" w:lineRule="auto"/>
              <w:jc w:val="center"/>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t>资质</w:t>
            </w:r>
            <w:r>
              <w:rPr>
                <w:rFonts w:hint="eastAsia" w:ascii="宋体" w:hAnsi="宋体" w:eastAsia="宋体" w:cs="Times New Roman"/>
                <w:color w:val="auto"/>
                <w:kern w:val="0"/>
                <w:szCs w:val="20"/>
                <w:highlight w:val="none"/>
              </w:rPr>
              <w:t>名称</w:t>
            </w:r>
          </w:p>
        </w:tc>
        <w:tc>
          <w:tcPr>
            <w:tcW w:w="884" w:type="dxa"/>
            <w:gridSpan w:val="2"/>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0604CE51">
            <w:pPr>
              <w:snapToGrid w:val="0"/>
              <w:spacing w:line="360" w:lineRule="auto"/>
              <w:jc w:val="center"/>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t>等级</w:t>
            </w:r>
          </w:p>
        </w:tc>
        <w:tc>
          <w:tcPr>
            <w:tcW w:w="1083"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4A16BD4E">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发证机关</w:t>
            </w:r>
          </w:p>
        </w:tc>
        <w:tc>
          <w:tcPr>
            <w:tcW w:w="3240" w:type="dxa"/>
            <w:gridSpan w:val="2"/>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7144823A">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有效期</w:t>
            </w:r>
          </w:p>
        </w:tc>
      </w:tr>
      <w:tr w14:paraId="0FF6C57C">
        <w:tblPrEx>
          <w:tblCellMar>
            <w:top w:w="0" w:type="dxa"/>
            <w:left w:w="0" w:type="dxa"/>
            <w:bottom w:w="0" w:type="dxa"/>
            <w:right w:w="0" w:type="dxa"/>
          </w:tblCellMar>
        </w:tblPrEx>
        <w:trPr>
          <w:trHeight w:val="626" w:hRule="atLeast"/>
        </w:trPr>
        <w:tc>
          <w:tcPr>
            <w:tcW w:w="3613" w:type="dxa"/>
            <w:gridSpan w:val="5"/>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65F35277">
            <w:pPr>
              <w:snapToGrid w:val="0"/>
              <w:spacing w:line="360" w:lineRule="auto"/>
              <w:jc w:val="center"/>
              <w:rPr>
                <w:rFonts w:ascii="宋体" w:hAnsi="宋体" w:eastAsia="宋体" w:cs="Times New Roman"/>
                <w:color w:val="auto"/>
                <w:kern w:val="0"/>
                <w:szCs w:val="20"/>
                <w:highlight w:val="none"/>
              </w:rPr>
            </w:pPr>
          </w:p>
        </w:tc>
        <w:tc>
          <w:tcPr>
            <w:tcW w:w="884" w:type="dxa"/>
            <w:gridSpan w:val="2"/>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0C3CF174">
            <w:pPr>
              <w:snapToGrid w:val="0"/>
              <w:spacing w:line="360" w:lineRule="auto"/>
              <w:jc w:val="center"/>
              <w:rPr>
                <w:rFonts w:ascii="宋体" w:hAnsi="宋体" w:eastAsia="宋体" w:cs="Times New Roman"/>
                <w:color w:val="auto"/>
                <w:kern w:val="0"/>
                <w:szCs w:val="20"/>
                <w:highlight w:val="none"/>
              </w:rPr>
            </w:pPr>
          </w:p>
        </w:tc>
        <w:tc>
          <w:tcPr>
            <w:tcW w:w="1083"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6390F7B7">
            <w:pPr>
              <w:snapToGrid w:val="0"/>
              <w:spacing w:line="360" w:lineRule="auto"/>
              <w:jc w:val="center"/>
              <w:rPr>
                <w:rFonts w:ascii="宋体" w:hAnsi="宋体" w:eastAsia="宋体" w:cs="Times New Roman"/>
                <w:color w:val="auto"/>
                <w:kern w:val="0"/>
                <w:szCs w:val="20"/>
                <w:highlight w:val="none"/>
              </w:rPr>
            </w:pPr>
          </w:p>
        </w:tc>
        <w:tc>
          <w:tcPr>
            <w:tcW w:w="3240" w:type="dxa"/>
            <w:gridSpan w:val="2"/>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17A9A54B">
            <w:pPr>
              <w:snapToGrid w:val="0"/>
              <w:spacing w:line="360" w:lineRule="auto"/>
              <w:jc w:val="center"/>
              <w:rPr>
                <w:rFonts w:ascii="宋体" w:hAnsi="宋体" w:eastAsia="宋体" w:cs="Times New Roman"/>
                <w:color w:val="auto"/>
                <w:kern w:val="0"/>
                <w:szCs w:val="20"/>
                <w:highlight w:val="none"/>
              </w:rPr>
            </w:pPr>
          </w:p>
        </w:tc>
      </w:tr>
      <w:tr w14:paraId="2B5E50C9">
        <w:tblPrEx>
          <w:tblCellMar>
            <w:top w:w="0" w:type="dxa"/>
            <w:left w:w="0" w:type="dxa"/>
            <w:bottom w:w="0" w:type="dxa"/>
            <w:right w:w="0" w:type="dxa"/>
          </w:tblCellMar>
        </w:tblPrEx>
        <w:trPr>
          <w:trHeight w:val="626" w:hRule="atLeast"/>
        </w:trPr>
        <w:tc>
          <w:tcPr>
            <w:tcW w:w="3613" w:type="dxa"/>
            <w:gridSpan w:val="5"/>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620AB3F4">
            <w:pPr>
              <w:snapToGrid w:val="0"/>
              <w:spacing w:line="360" w:lineRule="auto"/>
              <w:jc w:val="center"/>
              <w:rPr>
                <w:rFonts w:ascii="宋体" w:hAnsi="宋体" w:eastAsia="宋体" w:cs="Times New Roman"/>
                <w:color w:val="auto"/>
                <w:kern w:val="0"/>
                <w:szCs w:val="20"/>
                <w:highlight w:val="none"/>
              </w:rPr>
            </w:pPr>
          </w:p>
        </w:tc>
        <w:tc>
          <w:tcPr>
            <w:tcW w:w="884" w:type="dxa"/>
            <w:gridSpan w:val="2"/>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1A23A8C7">
            <w:pPr>
              <w:snapToGrid w:val="0"/>
              <w:spacing w:line="360" w:lineRule="auto"/>
              <w:jc w:val="center"/>
              <w:rPr>
                <w:rFonts w:ascii="宋体" w:hAnsi="宋体" w:eastAsia="宋体" w:cs="Times New Roman"/>
                <w:color w:val="auto"/>
                <w:kern w:val="0"/>
                <w:szCs w:val="20"/>
                <w:highlight w:val="none"/>
              </w:rPr>
            </w:pPr>
          </w:p>
        </w:tc>
        <w:tc>
          <w:tcPr>
            <w:tcW w:w="1083"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1C3EDA34">
            <w:pPr>
              <w:snapToGrid w:val="0"/>
              <w:spacing w:line="360" w:lineRule="auto"/>
              <w:jc w:val="center"/>
              <w:rPr>
                <w:rFonts w:ascii="宋体" w:hAnsi="宋体" w:eastAsia="宋体" w:cs="Times New Roman"/>
                <w:color w:val="auto"/>
                <w:kern w:val="0"/>
                <w:szCs w:val="20"/>
                <w:highlight w:val="none"/>
              </w:rPr>
            </w:pPr>
          </w:p>
        </w:tc>
        <w:tc>
          <w:tcPr>
            <w:tcW w:w="3240" w:type="dxa"/>
            <w:gridSpan w:val="2"/>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111D75FB">
            <w:pPr>
              <w:snapToGrid w:val="0"/>
              <w:spacing w:line="360" w:lineRule="auto"/>
              <w:jc w:val="center"/>
              <w:rPr>
                <w:rFonts w:ascii="宋体" w:hAnsi="宋体" w:eastAsia="宋体" w:cs="Times New Roman"/>
                <w:color w:val="auto"/>
                <w:kern w:val="0"/>
                <w:szCs w:val="20"/>
                <w:highlight w:val="none"/>
              </w:rPr>
            </w:pPr>
          </w:p>
        </w:tc>
      </w:tr>
      <w:tr w14:paraId="2900FB62">
        <w:tblPrEx>
          <w:tblCellMar>
            <w:top w:w="0" w:type="dxa"/>
            <w:left w:w="0" w:type="dxa"/>
            <w:bottom w:w="0" w:type="dxa"/>
            <w:right w:w="0" w:type="dxa"/>
          </w:tblCellMar>
        </w:tblPrEx>
        <w:trPr>
          <w:trHeight w:val="626" w:hRule="atLeast"/>
        </w:trPr>
        <w:tc>
          <w:tcPr>
            <w:tcW w:w="3613" w:type="dxa"/>
            <w:gridSpan w:val="5"/>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3723A659">
            <w:pPr>
              <w:snapToGrid w:val="0"/>
              <w:spacing w:line="360" w:lineRule="auto"/>
              <w:jc w:val="center"/>
              <w:rPr>
                <w:rFonts w:ascii="宋体" w:hAnsi="宋体" w:eastAsia="宋体" w:cs="Times New Roman"/>
                <w:color w:val="auto"/>
                <w:kern w:val="0"/>
                <w:szCs w:val="20"/>
                <w:highlight w:val="none"/>
              </w:rPr>
            </w:pPr>
          </w:p>
        </w:tc>
        <w:tc>
          <w:tcPr>
            <w:tcW w:w="884" w:type="dxa"/>
            <w:gridSpan w:val="2"/>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1BE38412">
            <w:pPr>
              <w:snapToGrid w:val="0"/>
              <w:spacing w:line="360" w:lineRule="auto"/>
              <w:jc w:val="center"/>
              <w:rPr>
                <w:rFonts w:ascii="宋体" w:hAnsi="宋体" w:eastAsia="宋体" w:cs="Times New Roman"/>
                <w:color w:val="auto"/>
                <w:kern w:val="0"/>
                <w:szCs w:val="20"/>
                <w:highlight w:val="none"/>
              </w:rPr>
            </w:pPr>
          </w:p>
        </w:tc>
        <w:tc>
          <w:tcPr>
            <w:tcW w:w="1083"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12538832">
            <w:pPr>
              <w:snapToGrid w:val="0"/>
              <w:spacing w:line="360" w:lineRule="auto"/>
              <w:jc w:val="center"/>
              <w:rPr>
                <w:rFonts w:ascii="宋体" w:hAnsi="宋体" w:eastAsia="宋体" w:cs="Times New Roman"/>
                <w:color w:val="auto"/>
                <w:kern w:val="0"/>
                <w:szCs w:val="20"/>
                <w:highlight w:val="none"/>
              </w:rPr>
            </w:pPr>
          </w:p>
        </w:tc>
        <w:tc>
          <w:tcPr>
            <w:tcW w:w="3240" w:type="dxa"/>
            <w:gridSpan w:val="2"/>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5D24E017">
            <w:pPr>
              <w:snapToGrid w:val="0"/>
              <w:spacing w:line="360" w:lineRule="auto"/>
              <w:jc w:val="center"/>
              <w:rPr>
                <w:rFonts w:ascii="宋体" w:hAnsi="宋体" w:eastAsia="宋体" w:cs="Times New Roman"/>
                <w:color w:val="auto"/>
                <w:kern w:val="0"/>
                <w:szCs w:val="20"/>
                <w:highlight w:val="none"/>
              </w:rPr>
            </w:pPr>
          </w:p>
        </w:tc>
      </w:tr>
      <w:tr w14:paraId="6E56BECB">
        <w:tblPrEx>
          <w:tblCellMar>
            <w:top w:w="0" w:type="dxa"/>
            <w:left w:w="0" w:type="dxa"/>
            <w:bottom w:w="0" w:type="dxa"/>
            <w:right w:w="0" w:type="dxa"/>
          </w:tblCellMar>
        </w:tblPrEx>
        <w:trPr>
          <w:trHeight w:val="626" w:hRule="atLeast"/>
        </w:trPr>
        <w:tc>
          <w:tcPr>
            <w:tcW w:w="3613" w:type="dxa"/>
            <w:gridSpan w:val="5"/>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29CE3454">
            <w:pPr>
              <w:snapToGrid w:val="0"/>
              <w:spacing w:line="360" w:lineRule="auto"/>
              <w:jc w:val="center"/>
              <w:rPr>
                <w:rFonts w:ascii="宋体" w:hAnsi="宋体" w:eastAsia="宋体" w:cs="Times New Roman"/>
                <w:color w:val="auto"/>
                <w:kern w:val="0"/>
                <w:szCs w:val="20"/>
                <w:highlight w:val="none"/>
              </w:rPr>
            </w:pPr>
          </w:p>
        </w:tc>
        <w:tc>
          <w:tcPr>
            <w:tcW w:w="884" w:type="dxa"/>
            <w:gridSpan w:val="2"/>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40AF9796">
            <w:pPr>
              <w:snapToGrid w:val="0"/>
              <w:spacing w:line="360" w:lineRule="auto"/>
              <w:jc w:val="center"/>
              <w:rPr>
                <w:rFonts w:ascii="宋体" w:hAnsi="宋体" w:eastAsia="宋体" w:cs="Times New Roman"/>
                <w:color w:val="auto"/>
                <w:kern w:val="0"/>
                <w:szCs w:val="20"/>
                <w:highlight w:val="none"/>
              </w:rPr>
            </w:pPr>
          </w:p>
        </w:tc>
        <w:tc>
          <w:tcPr>
            <w:tcW w:w="1083"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79CD90D2">
            <w:pPr>
              <w:snapToGrid w:val="0"/>
              <w:spacing w:line="360" w:lineRule="auto"/>
              <w:jc w:val="center"/>
              <w:rPr>
                <w:rFonts w:ascii="宋体" w:hAnsi="宋体" w:eastAsia="宋体" w:cs="Times New Roman"/>
                <w:color w:val="auto"/>
                <w:kern w:val="0"/>
                <w:szCs w:val="20"/>
                <w:highlight w:val="none"/>
              </w:rPr>
            </w:pPr>
          </w:p>
        </w:tc>
        <w:tc>
          <w:tcPr>
            <w:tcW w:w="3240" w:type="dxa"/>
            <w:gridSpan w:val="2"/>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7731F8D1">
            <w:pPr>
              <w:snapToGrid w:val="0"/>
              <w:spacing w:line="360" w:lineRule="auto"/>
              <w:jc w:val="center"/>
              <w:rPr>
                <w:rFonts w:ascii="宋体" w:hAnsi="宋体" w:eastAsia="宋体" w:cs="Times New Roman"/>
                <w:color w:val="auto"/>
                <w:kern w:val="0"/>
                <w:szCs w:val="20"/>
                <w:highlight w:val="none"/>
              </w:rPr>
            </w:pPr>
          </w:p>
        </w:tc>
      </w:tr>
      <w:tr w14:paraId="6FC6493A">
        <w:tblPrEx>
          <w:tblCellMar>
            <w:top w:w="0" w:type="dxa"/>
            <w:left w:w="0" w:type="dxa"/>
            <w:bottom w:w="0" w:type="dxa"/>
            <w:right w:w="0" w:type="dxa"/>
          </w:tblCellMar>
        </w:tblPrEx>
        <w:trPr>
          <w:trHeight w:val="1777" w:hRule="atLeast"/>
        </w:trPr>
        <w:tc>
          <w:tcPr>
            <w:tcW w:w="1258" w:type="dxa"/>
            <w:gridSpan w:val="2"/>
            <w:tcBorders>
              <w:top w:val="single" w:color="000000" w:sz="6" w:space="0"/>
              <w:left w:val="double" w:color="000000" w:sz="4" w:space="0"/>
              <w:bottom w:val="double" w:color="000000" w:sz="4" w:space="0"/>
              <w:right w:val="single" w:color="000000" w:sz="6" w:space="0"/>
            </w:tcBorders>
            <w:noWrap w:val="0"/>
            <w:tcMar>
              <w:top w:w="0" w:type="dxa"/>
              <w:left w:w="108" w:type="dxa"/>
              <w:bottom w:w="0" w:type="dxa"/>
              <w:right w:w="108" w:type="dxa"/>
            </w:tcMar>
            <w:vAlign w:val="center"/>
          </w:tcPr>
          <w:p w14:paraId="36CA5E91">
            <w:pPr>
              <w:snapToGrid w:val="0"/>
              <w:spacing w:line="360" w:lineRule="auto"/>
              <w:jc w:val="center"/>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t>备注</w:t>
            </w:r>
          </w:p>
        </w:tc>
        <w:tc>
          <w:tcPr>
            <w:tcW w:w="7562" w:type="dxa"/>
            <w:gridSpan w:val="8"/>
            <w:tcBorders>
              <w:top w:val="single" w:color="000000" w:sz="6" w:space="0"/>
              <w:left w:val="single" w:color="000000" w:sz="6" w:space="0"/>
              <w:bottom w:val="double" w:color="000000" w:sz="4" w:space="0"/>
              <w:right w:val="double" w:color="000000" w:sz="4" w:space="0"/>
            </w:tcBorders>
            <w:noWrap w:val="0"/>
            <w:tcMar>
              <w:top w:w="0" w:type="dxa"/>
              <w:left w:w="108" w:type="dxa"/>
              <w:bottom w:w="0" w:type="dxa"/>
              <w:right w:w="108" w:type="dxa"/>
            </w:tcMar>
            <w:vAlign w:val="center"/>
          </w:tcPr>
          <w:p w14:paraId="51A02627">
            <w:pPr>
              <w:snapToGrid w:val="0"/>
              <w:spacing w:line="360" w:lineRule="auto"/>
              <w:rPr>
                <w:rFonts w:ascii="宋体" w:hAnsi="宋体" w:eastAsia="宋体" w:cs="Times New Roman"/>
                <w:b/>
                <w:color w:val="auto"/>
                <w:kern w:val="0"/>
                <w:szCs w:val="20"/>
                <w:highlight w:val="none"/>
              </w:rPr>
            </w:pPr>
            <w:r>
              <w:rPr>
                <w:rFonts w:hint="eastAsia" w:ascii="宋体" w:hAnsi="宋体" w:eastAsia="宋体" w:cs="Times New Roman"/>
                <w:b/>
                <w:color w:val="auto"/>
                <w:kern w:val="0"/>
                <w:szCs w:val="20"/>
                <w:highlight w:val="none"/>
              </w:rPr>
              <w:t>附《营业执照》（副本）复印件。其他资料按第二章第42.1款或第四章要求提供。</w:t>
            </w:r>
          </w:p>
        </w:tc>
      </w:tr>
    </w:tbl>
    <w:p w14:paraId="1891C216">
      <w:pPr>
        <w:snapToGrid w:val="0"/>
        <w:spacing w:line="360" w:lineRule="auto"/>
        <w:rPr>
          <w:rFonts w:ascii="宋体" w:hAnsi="宋体" w:eastAsia="宋体" w:cs="Times New Roman"/>
          <w:color w:val="auto"/>
          <w:kern w:val="0"/>
          <w:sz w:val="30"/>
          <w:szCs w:val="20"/>
          <w:highlight w:val="none"/>
        </w:rPr>
      </w:pPr>
    </w:p>
    <w:p w14:paraId="77E577BF">
      <w:pPr>
        <w:snapToGrid w:val="0"/>
        <w:spacing w:line="360" w:lineRule="auto"/>
        <w:rPr>
          <w:rFonts w:ascii="宋体" w:hAnsi="宋体" w:eastAsia="宋体" w:cs="Times New Roman"/>
          <w:color w:val="auto"/>
          <w:kern w:val="0"/>
          <w:sz w:val="30"/>
          <w:szCs w:val="20"/>
          <w:highlight w:val="none"/>
        </w:rPr>
      </w:pPr>
      <w:r>
        <w:rPr>
          <w:rFonts w:hint="eastAsia" w:ascii="宋体" w:hAnsi="宋体" w:eastAsia="宋体" w:cs="Times New Roman"/>
          <w:color w:val="auto"/>
          <w:kern w:val="0"/>
          <w:sz w:val="30"/>
          <w:szCs w:val="20"/>
          <w:highlight w:val="none"/>
        </w:rPr>
        <w:t>附件</w:t>
      </w:r>
      <w:r>
        <w:rPr>
          <w:rFonts w:hint="eastAsia" w:ascii="宋体" w:hAnsi="宋体" w:cs="Times New Roman"/>
          <w:color w:val="auto"/>
          <w:kern w:val="0"/>
          <w:sz w:val="30"/>
          <w:szCs w:val="20"/>
          <w:highlight w:val="none"/>
          <w:lang w:val="en-US" w:eastAsia="zh-CN"/>
        </w:rPr>
        <w:t>5</w:t>
      </w:r>
      <w:r>
        <w:rPr>
          <w:rFonts w:hint="eastAsia" w:ascii="宋体" w:hAnsi="宋体" w:eastAsia="宋体" w:cs="Times New Roman"/>
          <w:color w:val="auto"/>
          <w:kern w:val="0"/>
          <w:sz w:val="30"/>
          <w:szCs w:val="20"/>
          <w:highlight w:val="none"/>
        </w:rPr>
        <w:t>-1      磋商文件规定的基本资格条件证明资料</w:t>
      </w:r>
    </w:p>
    <w:p w14:paraId="03FCB11F">
      <w:pPr>
        <w:snapToGrid w:val="0"/>
        <w:spacing w:line="360" w:lineRule="auto"/>
        <w:rPr>
          <w:rFonts w:ascii="宋体" w:hAnsi="宋体" w:eastAsia="宋体" w:cs="Times New Roman"/>
          <w:color w:val="auto"/>
          <w:kern w:val="0"/>
          <w:szCs w:val="20"/>
          <w:highlight w:val="none"/>
        </w:rPr>
      </w:pPr>
    </w:p>
    <w:p w14:paraId="56ABE239">
      <w:pPr>
        <w:snapToGrid w:val="0"/>
        <w:spacing w:line="360" w:lineRule="auto"/>
        <w:ind w:right="23"/>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提供第二章 磋商须知第3.1款供应商基本资格条件：法律、行政法规规定的其他条件[包括供应商从事磋商货物的生产、销售或经营、安装、集成等项许可(如果有的话)]证明资料的复印件。</w:t>
      </w:r>
    </w:p>
    <w:p w14:paraId="68861461">
      <w:pP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br w:type="page"/>
      </w:r>
    </w:p>
    <w:p w14:paraId="582C49D5">
      <w:pPr>
        <w:snapToGrid w:val="0"/>
        <w:spacing w:line="360" w:lineRule="auto"/>
        <w:rPr>
          <w:rFonts w:ascii="宋体" w:hAnsi="宋体" w:eastAsia="宋体" w:cs="Times New Roman"/>
          <w:bCs/>
          <w:color w:val="auto"/>
          <w:kern w:val="0"/>
          <w:sz w:val="30"/>
          <w:szCs w:val="20"/>
          <w:highlight w:val="none"/>
        </w:rPr>
      </w:pPr>
      <w:r>
        <w:rPr>
          <w:rFonts w:hint="eastAsia" w:ascii="宋体" w:hAnsi="宋体" w:eastAsia="宋体" w:cs="Times New Roman"/>
          <w:color w:val="auto"/>
          <w:kern w:val="0"/>
          <w:sz w:val="30"/>
          <w:szCs w:val="20"/>
          <w:highlight w:val="none"/>
        </w:rPr>
        <w:t>附件</w:t>
      </w:r>
      <w:r>
        <w:rPr>
          <w:rFonts w:hint="eastAsia" w:ascii="宋体" w:hAnsi="宋体" w:cs="Times New Roman"/>
          <w:color w:val="auto"/>
          <w:kern w:val="0"/>
          <w:sz w:val="30"/>
          <w:szCs w:val="20"/>
          <w:highlight w:val="none"/>
          <w:lang w:val="en-US" w:eastAsia="zh-CN"/>
        </w:rPr>
        <w:t>5</w:t>
      </w:r>
      <w:r>
        <w:rPr>
          <w:rFonts w:hint="eastAsia" w:ascii="宋体" w:hAnsi="宋体" w:eastAsia="宋体" w:cs="Times New Roman"/>
          <w:color w:val="auto"/>
          <w:kern w:val="0"/>
          <w:sz w:val="30"/>
          <w:szCs w:val="20"/>
          <w:highlight w:val="none"/>
        </w:rPr>
        <w:t xml:space="preserve">-2         </w:t>
      </w:r>
      <w:r>
        <w:rPr>
          <w:rFonts w:hint="eastAsia" w:ascii="宋体" w:hAnsi="Times New Roman" w:eastAsia="宋体" w:cs="Times New Roman"/>
          <w:bCs/>
          <w:color w:val="auto"/>
          <w:kern w:val="0"/>
          <w:sz w:val="28"/>
          <w:szCs w:val="20"/>
          <w:highlight w:val="none"/>
        </w:rPr>
        <w:t>湖南省政府采购供应商资格承诺函</w:t>
      </w:r>
    </w:p>
    <w:p w14:paraId="28608802">
      <w:pPr>
        <w:ind w:firstLine="640" w:firstLineChars="200"/>
        <w:rPr>
          <w:rFonts w:ascii="仿宋" w:hAnsi="仿宋" w:eastAsia="仿宋" w:cs="Times New Roman"/>
          <w:color w:val="auto"/>
          <w:kern w:val="2"/>
          <w:sz w:val="32"/>
          <w:szCs w:val="22"/>
          <w:highlight w:val="none"/>
        </w:rPr>
      </w:pPr>
    </w:p>
    <w:p w14:paraId="590C0A71">
      <w:pPr>
        <w:snapToGrid w:val="0"/>
        <w:spacing w:line="360" w:lineRule="auto"/>
        <w:ind w:right="23"/>
        <w:jc w:val="center"/>
        <w:rPr>
          <w:rFonts w:hint="eastAsia" w:ascii="宋体" w:hAnsi="Times New Roman" w:eastAsia="宋体" w:cs="Times New Roman"/>
          <w:b/>
          <w:color w:val="auto"/>
          <w:kern w:val="2"/>
          <w:sz w:val="28"/>
          <w:szCs w:val="24"/>
          <w:highlight w:val="none"/>
        </w:rPr>
      </w:pPr>
      <w:r>
        <w:rPr>
          <w:rFonts w:hint="eastAsia" w:ascii="宋体" w:hAnsi="Times New Roman" w:eastAsia="宋体" w:cs="Times New Roman"/>
          <w:b/>
          <w:color w:val="auto"/>
          <w:kern w:val="2"/>
          <w:sz w:val="28"/>
          <w:szCs w:val="24"/>
          <w:highlight w:val="none"/>
        </w:rPr>
        <w:t>湖南省政府采购供应商资格承诺函</w:t>
      </w:r>
    </w:p>
    <w:p w14:paraId="6DA74C67">
      <w:pPr>
        <w:snapToGrid w:val="0"/>
        <w:spacing w:line="480" w:lineRule="auto"/>
        <w:ind w:firstLine="420" w:firstLineChars="200"/>
        <w:jc w:val="left"/>
        <w:rPr>
          <w:rFonts w:hint="eastAsia" w:ascii="宋体" w:hAnsi="宋体" w:eastAsia="宋体" w:cs="宋体"/>
          <w:color w:val="auto"/>
          <w:kern w:val="2"/>
          <w:szCs w:val="24"/>
          <w:highlight w:val="none"/>
        </w:rPr>
      </w:pPr>
    </w:p>
    <w:p w14:paraId="3FB30F18">
      <w:pPr>
        <w:snapToGrid w:val="0"/>
        <w:spacing w:line="480" w:lineRule="auto"/>
        <w:ind w:firstLine="420" w:firstLineChars="200"/>
        <w:jc w:val="left"/>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 xml:space="preserve">本公司独立承担民事责任、具有良好的商业信誉和健全的财务会计制度、依法缴纳税收和社会保障资金，在前三年的经营活动中无重大违法记录，未列入严重失信行为名单，符合政府采购供应商的基本资格要求。 </w:t>
      </w:r>
    </w:p>
    <w:p w14:paraId="1751AF6A">
      <w:pPr>
        <w:snapToGrid w:val="0"/>
        <w:spacing w:line="480" w:lineRule="auto"/>
        <w:ind w:firstLine="420" w:firstLineChars="200"/>
        <w:jc w:val="left"/>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按 照 《 政 府 采 购 促 进 中 小 企 业 发 展 管 理 办 法 》（ 财 库〔</w:t>
      </w:r>
      <w:r>
        <w:rPr>
          <w:rFonts w:ascii="宋体" w:hAnsi="宋体" w:eastAsia="宋体" w:cs="宋体"/>
          <w:color w:val="auto"/>
          <w:kern w:val="2"/>
          <w:szCs w:val="24"/>
          <w:highlight w:val="none"/>
        </w:rPr>
        <w:t>2020</w:t>
      </w:r>
      <w:r>
        <w:rPr>
          <w:rFonts w:hint="eastAsia" w:ascii="宋体" w:hAnsi="宋体" w:eastAsia="宋体" w:cs="宋体"/>
          <w:color w:val="auto"/>
          <w:kern w:val="2"/>
          <w:szCs w:val="24"/>
          <w:highlight w:val="none"/>
        </w:rPr>
        <w:t>〕</w:t>
      </w:r>
      <w:r>
        <w:rPr>
          <w:rFonts w:ascii="宋体" w:hAnsi="宋体" w:eastAsia="宋体" w:cs="宋体"/>
          <w:color w:val="auto"/>
          <w:kern w:val="2"/>
          <w:szCs w:val="24"/>
          <w:highlight w:val="none"/>
        </w:rPr>
        <w:t xml:space="preserve">46 </w:t>
      </w:r>
      <w:r>
        <w:rPr>
          <w:rFonts w:hint="eastAsia" w:ascii="宋体" w:hAnsi="宋体" w:eastAsia="宋体" w:cs="宋体"/>
          <w:color w:val="auto"/>
          <w:kern w:val="2"/>
          <w:szCs w:val="24"/>
          <w:highlight w:val="none"/>
        </w:rPr>
        <w:t>号），本公司企业规模为：大型</w:t>
      </w:r>
      <w:r>
        <w:rPr>
          <w:rFonts w:hint="eastAsia" w:ascii="宋体" w:hAnsi="宋体" w:eastAsia="宋体" w:cs="宋体"/>
          <w:color w:val="auto"/>
          <w:kern w:val="2"/>
          <w:szCs w:val="24"/>
          <w:highlight w:val="none"/>
        </w:rPr>
        <w:sym w:font="Wingdings" w:char="00A8"/>
      </w:r>
      <w:r>
        <w:rPr>
          <w:rFonts w:hint="eastAsia" w:ascii="宋体" w:hAnsi="宋体" w:eastAsia="宋体" w:cs="宋体"/>
          <w:color w:val="auto"/>
          <w:kern w:val="2"/>
          <w:szCs w:val="24"/>
          <w:highlight w:val="none"/>
        </w:rPr>
        <w:t> 中型</w:t>
      </w:r>
      <w:r>
        <w:rPr>
          <w:rFonts w:hint="eastAsia" w:ascii="宋体" w:hAnsi="宋体" w:eastAsia="宋体" w:cs="宋体"/>
          <w:color w:val="auto"/>
          <w:kern w:val="2"/>
          <w:szCs w:val="24"/>
          <w:highlight w:val="none"/>
        </w:rPr>
        <w:sym w:font="Wingdings" w:char="00A8"/>
      </w:r>
      <w:r>
        <w:rPr>
          <w:rFonts w:ascii="宋体" w:hAnsi="宋体" w:eastAsia="宋体" w:cs="宋体"/>
          <w:color w:val="auto"/>
          <w:kern w:val="2"/>
          <w:szCs w:val="24"/>
          <w:highlight w:val="none"/>
        </w:rPr>
        <w:t xml:space="preserve"> </w:t>
      </w:r>
      <w:r>
        <w:rPr>
          <w:rFonts w:hint="eastAsia" w:ascii="宋体" w:hAnsi="宋体" w:eastAsia="宋体" w:cs="宋体"/>
          <w:color w:val="auto"/>
          <w:kern w:val="2"/>
          <w:szCs w:val="24"/>
          <w:highlight w:val="none"/>
        </w:rPr>
        <w:t>小型</w:t>
      </w:r>
      <w:r>
        <w:rPr>
          <w:rFonts w:hint="eastAsia" w:ascii="宋体" w:hAnsi="宋体" w:eastAsia="宋体" w:cs="宋体"/>
          <w:color w:val="auto"/>
          <w:kern w:val="2"/>
          <w:szCs w:val="24"/>
          <w:highlight w:val="none"/>
        </w:rPr>
        <w:sym w:font="Wingdings" w:char="00A8"/>
      </w:r>
      <w:r>
        <w:rPr>
          <w:rFonts w:ascii="宋体" w:hAnsi="宋体" w:eastAsia="宋体" w:cs="宋体"/>
          <w:color w:val="auto"/>
          <w:kern w:val="2"/>
          <w:szCs w:val="24"/>
          <w:highlight w:val="none"/>
        </w:rPr>
        <w:t xml:space="preserve"> </w:t>
      </w:r>
      <w:r>
        <w:rPr>
          <w:rFonts w:hint="eastAsia" w:ascii="宋体" w:hAnsi="宋体" w:eastAsia="宋体" w:cs="宋体"/>
          <w:color w:val="auto"/>
          <w:kern w:val="2"/>
          <w:szCs w:val="24"/>
          <w:highlight w:val="none"/>
        </w:rPr>
        <w:t>微型</w:t>
      </w:r>
      <w:r>
        <w:rPr>
          <w:rFonts w:hint="eastAsia" w:ascii="宋体" w:hAnsi="宋体" w:eastAsia="宋体" w:cs="宋体"/>
          <w:color w:val="auto"/>
          <w:kern w:val="2"/>
          <w:szCs w:val="24"/>
          <w:highlight w:val="none"/>
        </w:rPr>
        <w:sym w:font="Wingdings" w:char="00A8"/>
      </w:r>
      <w:r>
        <w:rPr>
          <w:rFonts w:ascii="宋体" w:hAnsi="宋体" w:eastAsia="宋体" w:cs="宋体"/>
          <w:color w:val="auto"/>
          <w:kern w:val="2"/>
          <w:szCs w:val="24"/>
          <w:highlight w:val="none"/>
        </w:rPr>
        <w:t></w:t>
      </w:r>
    </w:p>
    <w:p w14:paraId="57673C8B">
      <w:pPr>
        <w:snapToGrid w:val="0"/>
        <w:spacing w:line="360" w:lineRule="auto"/>
        <w:ind w:firstLine="420" w:firstLineChars="200"/>
        <w:jc w:val="left"/>
        <w:rPr>
          <w:rFonts w:hint="eastAsia" w:ascii="宋体" w:hAnsi="宋体" w:eastAsia="宋体" w:cs="宋体"/>
          <w:color w:val="auto"/>
          <w:kern w:val="2"/>
          <w:szCs w:val="24"/>
          <w:highlight w:val="none"/>
        </w:rPr>
      </w:pPr>
    </w:p>
    <w:p w14:paraId="52D4E740">
      <w:pPr>
        <w:snapToGrid w:val="0"/>
        <w:spacing w:line="360" w:lineRule="auto"/>
        <w:ind w:firstLine="420" w:firstLineChars="200"/>
        <w:jc w:val="right"/>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 xml:space="preserve">公司（单位）名称（盖章） </w:t>
      </w:r>
    </w:p>
    <w:p w14:paraId="6D08260B">
      <w:pPr>
        <w:snapToGrid w:val="0"/>
        <w:spacing w:line="360" w:lineRule="auto"/>
        <w:ind w:firstLine="420" w:firstLineChars="200"/>
        <w:jc w:val="right"/>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 xml:space="preserve">年 月 日 </w:t>
      </w:r>
    </w:p>
    <w:p w14:paraId="21A8D46D">
      <w:pPr>
        <w:snapToGrid w:val="0"/>
        <w:spacing w:line="360" w:lineRule="auto"/>
        <w:ind w:firstLine="420" w:firstLineChars="200"/>
        <w:jc w:val="left"/>
        <w:rPr>
          <w:rFonts w:ascii="宋体" w:hAnsi="宋体" w:eastAsia="宋体" w:cs="宋体"/>
          <w:color w:val="auto"/>
          <w:kern w:val="2"/>
          <w:szCs w:val="24"/>
          <w:highlight w:val="none"/>
          <w:u w:val="single"/>
        </w:rPr>
      </w:pPr>
      <w:r>
        <w:rPr>
          <w:rFonts w:hint="eastAsia" w:ascii="宋体" w:hAnsi="宋体" w:eastAsia="宋体" w:cs="宋体"/>
          <w:color w:val="auto"/>
          <w:kern w:val="2"/>
          <w:szCs w:val="24"/>
          <w:highlight w:val="none"/>
        </w:rPr>
        <w:t>机构代码：</w:t>
      </w:r>
      <w:r>
        <w:rPr>
          <w:rFonts w:hint="eastAsia" w:ascii="宋体" w:hAnsi="宋体" w:eastAsia="宋体" w:cs="宋体"/>
          <w:color w:val="auto"/>
          <w:kern w:val="2"/>
          <w:szCs w:val="24"/>
          <w:highlight w:val="none"/>
          <w:u w:val="single"/>
        </w:rPr>
        <w:t xml:space="preserve">            </w:t>
      </w:r>
    </w:p>
    <w:p w14:paraId="7E6A0B67">
      <w:pPr>
        <w:snapToGrid w:val="0"/>
        <w:spacing w:line="360" w:lineRule="auto"/>
        <w:ind w:firstLine="420" w:firstLineChars="200"/>
        <w:jc w:val="left"/>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注册登记机构：</w:t>
      </w:r>
      <w:r>
        <w:rPr>
          <w:rFonts w:hint="eastAsia" w:ascii="宋体" w:hAnsi="宋体" w:eastAsia="宋体" w:cs="宋体"/>
          <w:color w:val="auto"/>
          <w:kern w:val="2"/>
          <w:szCs w:val="24"/>
          <w:highlight w:val="none"/>
          <w:u w:val="single"/>
        </w:rPr>
        <w:t xml:space="preserve">            </w:t>
      </w:r>
    </w:p>
    <w:p w14:paraId="09E95CB2">
      <w:pPr>
        <w:snapToGrid w:val="0"/>
        <w:spacing w:line="360" w:lineRule="auto"/>
        <w:ind w:firstLine="420" w:firstLineChars="200"/>
        <w:jc w:val="left"/>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日期：</w:t>
      </w:r>
      <w:r>
        <w:rPr>
          <w:rFonts w:hint="eastAsia" w:ascii="宋体" w:hAnsi="宋体" w:eastAsia="宋体" w:cs="宋体"/>
          <w:color w:val="auto"/>
          <w:kern w:val="2"/>
          <w:szCs w:val="24"/>
          <w:highlight w:val="none"/>
          <w:u w:val="single"/>
        </w:rPr>
        <w:t xml:space="preserve">            </w:t>
      </w:r>
    </w:p>
    <w:p w14:paraId="18CA0227">
      <w:pPr>
        <w:snapToGrid w:val="0"/>
        <w:spacing w:line="360" w:lineRule="auto"/>
        <w:ind w:firstLine="420" w:firstLineChars="200"/>
        <w:jc w:val="left"/>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有效期：</w:t>
      </w:r>
      <w:r>
        <w:rPr>
          <w:rFonts w:hint="eastAsia" w:ascii="宋体" w:hAnsi="宋体" w:eastAsia="宋体" w:cs="宋体"/>
          <w:color w:val="auto"/>
          <w:kern w:val="2"/>
          <w:szCs w:val="24"/>
          <w:highlight w:val="none"/>
          <w:u w:val="single"/>
        </w:rPr>
        <w:t xml:space="preserve">            </w:t>
      </w:r>
    </w:p>
    <w:p w14:paraId="3A554505">
      <w:pPr>
        <w:snapToGrid w:val="0"/>
        <w:spacing w:line="360" w:lineRule="auto"/>
        <w:ind w:firstLine="420" w:firstLineChars="200"/>
        <w:jc w:val="left"/>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注册资本：</w:t>
      </w:r>
      <w:r>
        <w:rPr>
          <w:rFonts w:hint="eastAsia" w:ascii="宋体" w:hAnsi="宋体" w:eastAsia="宋体" w:cs="宋体"/>
          <w:color w:val="auto"/>
          <w:kern w:val="2"/>
          <w:szCs w:val="24"/>
          <w:highlight w:val="none"/>
          <w:u w:val="single"/>
        </w:rPr>
        <w:t xml:space="preserve">            </w:t>
      </w:r>
    </w:p>
    <w:p w14:paraId="451BF45E">
      <w:pPr>
        <w:snapToGrid w:val="0"/>
        <w:spacing w:line="360" w:lineRule="auto"/>
        <w:ind w:firstLine="420" w:firstLineChars="200"/>
        <w:jc w:val="left"/>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地址：</w:t>
      </w:r>
      <w:r>
        <w:rPr>
          <w:rFonts w:hint="eastAsia" w:ascii="宋体" w:hAnsi="宋体" w:eastAsia="宋体" w:cs="宋体"/>
          <w:color w:val="auto"/>
          <w:kern w:val="2"/>
          <w:szCs w:val="24"/>
          <w:highlight w:val="none"/>
          <w:u w:val="single"/>
        </w:rPr>
        <w:t xml:space="preserve">            </w:t>
      </w:r>
    </w:p>
    <w:p w14:paraId="77B3FEA2">
      <w:pPr>
        <w:snapToGrid w:val="0"/>
        <w:spacing w:line="360" w:lineRule="auto"/>
        <w:ind w:firstLine="420" w:firstLineChars="200"/>
        <w:jc w:val="left"/>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经济行业：</w:t>
      </w:r>
      <w:r>
        <w:rPr>
          <w:rFonts w:hint="eastAsia" w:ascii="宋体" w:hAnsi="宋体" w:eastAsia="宋体" w:cs="宋体"/>
          <w:color w:val="auto"/>
          <w:kern w:val="2"/>
          <w:szCs w:val="24"/>
          <w:highlight w:val="none"/>
          <w:u w:val="single"/>
        </w:rPr>
        <w:t xml:space="preserve">            </w:t>
      </w:r>
    </w:p>
    <w:p w14:paraId="23CE1861">
      <w:pPr>
        <w:snapToGrid w:val="0"/>
        <w:spacing w:line="360" w:lineRule="auto"/>
        <w:ind w:firstLine="420" w:firstLineChars="200"/>
        <w:jc w:val="left"/>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经济性质 ：</w:t>
      </w:r>
      <w:r>
        <w:rPr>
          <w:rFonts w:hint="eastAsia" w:ascii="宋体" w:hAnsi="宋体" w:eastAsia="宋体" w:cs="宋体"/>
          <w:color w:val="auto"/>
          <w:kern w:val="2"/>
          <w:szCs w:val="24"/>
          <w:highlight w:val="none"/>
          <w:u w:val="single"/>
        </w:rPr>
        <w:t xml:space="preserve">            </w:t>
      </w:r>
    </w:p>
    <w:p w14:paraId="1D129884">
      <w:pPr>
        <w:snapToGrid w:val="0"/>
        <w:spacing w:line="360" w:lineRule="auto"/>
        <w:ind w:firstLine="420" w:firstLineChars="200"/>
        <w:jc w:val="left"/>
        <w:rPr>
          <w:rFonts w:hint="eastAsia" w:ascii="宋体" w:hAnsi="宋体" w:eastAsia="宋体" w:cs="宋体"/>
          <w:color w:val="auto"/>
          <w:kern w:val="2"/>
          <w:szCs w:val="24"/>
          <w:highlight w:val="none"/>
        </w:rPr>
      </w:pPr>
    </w:p>
    <w:p w14:paraId="0CDD05D2">
      <w:pPr>
        <w:snapToGrid w:val="0"/>
        <w:spacing w:line="360" w:lineRule="auto"/>
        <w:ind w:firstLine="420" w:firstLineChars="200"/>
        <w:jc w:val="left"/>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 xml:space="preserve">法定代表人（负责人）姓名（签字）、身份证号、手机号： </w:t>
      </w:r>
    </w:p>
    <w:p w14:paraId="50D284DE">
      <w:pPr>
        <w:snapToGrid w:val="0"/>
        <w:spacing w:line="360" w:lineRule="auto"/>
        <w:ind w:firstLine="420" w:firstLineChars="200"/>
        <w:jc w:val="left"/>
        <w:rPr>
          <w:rFonts w:hint="eastAsia" w:ascii="宋体" w:hAnsi="宋体" w:eastAsia="宋体" w:cs="宋体"/>
          <w:color w:val="auto"/>
          <w:kern w:val="2"/>
          <w:szCs w:val="24"/>
          <w:highlight w:val="none"/>
        </w:rPr>
      </w:pPr>
    </w:p>
    <w:p w14:paraId="43965DC0">
      <w:pPr>
        <w:snapToGrid w:val="0"/>
        <w:spacing w:line="360" w:lineRule="auto"/>
        <w:ind w:firstLine="420" w:firstLineChars="200"/>
        <w:jc w:val="left"/>
        <w:rPr>
          <w:rFonts w:ascii="宋体" w:hAnsi="宋体" w:eastAsia="宋体" w:cs="Times New Roman"/>
          <w:color w:val="auto"/>
          <w:kern w:val="0"/>
          <w:sz w:val="30"/>
          <w:szCs w:val="20"/>
          <w:highlight w:val="none"/>
        </w:rPr>
      </w:pPr>
      <w:r>
        <w:rPr>
          <w:rFonts w:hint="eastAsia" w:ascii="宋体" w:hAnsi="宋体" w:eastAsia="宋体" w:cs="宋体"/>
          <w:color w:val="auto"/>
          <w:kern w:val="2"/>
          <w:szCs w:val="24"/>
          <w:highlight w:val="none"/>
        </w:rPr>
        <w:t>授权代表人姓名（签字）、身份证号、手机号：</w:t>
      </w:r>
    </w:p>
    <w:p w14:paraId="541F5F26">
      <w:pPr>
        <w:snapToGrid w:val="0"/>
        <w:spacing w:line="360" w:lineRule="auto"/>
        <w:rPr>
          <w:rFonts w:ascii="宋体" w:hAnsi="宋体" w:eastAsia="宋体" w:cs="Times New Roman"/>
          <w:color w:val="auto"/>
          <w:kern w:val="0"/>
          <w:sz w:val="30"/>
          <w:szCs w:val="20"/>
          <w:highlight w:val="none"/>
        </w:rPr>
      </w:pPr>
    </w:p>
    <w:p w14:paraId="6F39BB6C">
      <w:pPr>
        <w:snapToGrid w:val="0"/>
        <w:spacing w:line="360" w:lineRule="auto"/>
        <w:rPr>
          <w:rFonts w:ascii="宋体" w:hAnsi="宋体" w:eastAsia="宋体" w:cs="Times New Roman"/>
          <w:color w:val="auto"/>
          <w:kern w:val="0"/>
          <w:sz w:val="30"/>
          <w:szCs w:val="20"/>
          <w:highlight w:val="none"/>
        </w:rPr>
      </w:pPr>
    </w:p>
    <w:p w14:paraId="46D2970D">
      <w:pPr>
        <w:widowControl w:val="0"/>
        <w:spacing w:line="360" w:lineRule="auto"/>
        <w:ind w:left="2940"/>
        <w:jc w:val="both"/>
        <w:rPr>
          <w:rFonts w:ascii="宋体" w:hAnsi="宋体" w:eastAsia="宋体" w:cs="Times New Roman"/>
          <w:color w:val="auto"/>
          <w:sz w:val="20"/>
          <w:highlight w:val="none"/>
          <w:lang w:val="en-US" w:eastAsia="zh-CN" w:bidi="ar-SA"/>
        </w:rPr>
      </w:pPr>
      <w:r>
        <w:rPr>
          <w:rFonts w:hint="eastAsia" w:ascii="宋体" w:hAnsi="宋体" w:eastAsia="宋体" w:cs="Times New Roman"/>
          <w:color w:val="auto"/>
          <w:sz w:val="20"/>
          <w:highlight w:val="none"/>
          <w:lang w:val="en-US" w:eastAsia="zh-CN" w:bidi="ar-SA"/>
        </w:rPr>
        <w:br w:type="page"/>
      </w:r>
    </w:p>
    <w:p w14:paraId="4CC6DBD7">
      <w:pPr>
        <w:snapToGrid w:val="0"/>
        <w:spacing w:line="360" w:lineRule="auto"/>
        <w:rPr>
          <w:rFonts w:ascii="宋体" w:hAnsi="宋体" w:eastAsia="宋体" w:cs="Times New Roman"/>
          <w:color w:val="auto"/>
          <w:kern w:val="0"/>
          <w:sz w:val="30"/>
          <w:szCs w:val="20"/>
          <w:highlight w:val="none"/>
        </w:rPr>
      </w:pPr>
      <w:r>
        <w:rPr>
          <w:rFonts w:hint="eastAsia" w:ascii="宋体" w:hAnsi="宋体" w:eastAsia="宋体" w:cs="Times New Roman"/>
          <w:color w:val="auto"/>
          <w:kern w:val="0"/>
          <w:sz w:val="30"/>
          <w:szCs w:val="20"/>
          <w:highlight w:val="none"/>
        </w:rPr>
        <w:t>附件</w:t>
      </w:r>
      <w:r>
        <w:rPr>
          <w:rFonts w:hint="eastAsia" w:ascii="宋体" w:hAnsi="宋体" w:cs="Times New Roman"/>
          <w:color w:val="auto"/>
          <w:kern w:val="0"/>
          <w:sz w:val="30"/>
          <w:szCs w:val="20"/>
          <w:highlight w:val="none"/>
          <w:lang w:val="en-US" w:eastAsia="zh-CN"/>
        </w:rPr>
        <w:t>5</w:t>
      </w:r>
      <w:r>
        <w:rPr>
          <w:rFonts w:hint="eastAsia" w:ascii="宋体" w:hAnsi="宋体" w:eastAsia="宋体" w:cs="Times New Roman"/>
          <w:color w:val="auto"/>
          <w:kern w:val="0"/>
          <w:sz w:val="30"/>
          <w:szCs w:val="20"/>
          <w:highlight w:val="none"/>
        </w:rPr>
        <w:t>-3  磋商文件规定的特定资格条件证明资料</w:t>
      </w:r>
    </w:p>
    <w:p w14:paraId="24C6E1AE">
      <w:pPr>
        <w:snapToGrid w:val="0"/>
        <w:spacing w:line="360" w:lineRule="auto"/>
        <w:rPr>
          <w:rFonts w:ascii="宋体" w:hAnsi="宋体" w:eastAsia="宋体" w:cs="Times New Roman"/>
          <w:color w:val="auto"/>
          <w:kern w:val="0"/>
          <w:szCs w:val="20"/>
          <w:highlight w:val="none"/>
        </w:rPr>
      </w:pPr>
    </w:p>
    <w:p w14:paraId="4936D8D1">
      <w:pPr>
        <w:snapToGrid w:val="0"/>
        <w:spacing w:line="360" w:lineRule="auto"/>
        <w:ind w:firstLine="525"/>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备注：提供第二章 磋商须知第3.1款供应商特定资格条件证明资料的复印件</w:t>
      </w:r>
    </w:p>
    <w:p w14:paraId="628FCE38">
      <w:pPr>
        <w:snapToGrid w:val="0"/>
        <w:spacing w:line="360" w:lineRule="auto"/>
        <w:rPr>
          <w:rFonts w:ascii="宋体" w:hAnsi="宋体" w:eastAsia="宋体" w:cs="Times New Roman"/>
          <w:color w:val="auto"/>
          <w:kern w:val="0"/>
          <w:szCs w:val="20"/>
          <w:highlight w:val="none"/>
        </w:rPr>
      </w:pPr>
    </w:p>
    <w:p w14:paraId="5C37C03D">
      <w:pPr>
        <w:snapToGrid w:val="0"/>
        <w:spacing w:line="360" w:lineRule="auto"/>
        <w:rPr>
          <w:rFonts w:ascii="宋体" w:hAnsi="宋体" w:eastAsia="宋体" w:cs="Times New Roman"/>
          <w:b/>
          <w:color w:val="auto"/>
          <w:kern w:val="0"/>
          <w:sz w:val="30"/>
          <w:szCs w:val="20"/>
          <w:highlight w:val="none"/>
        </w:rPr>
      </w:pPr>
    </w:p>
    <w:p w14:paraId="729A33EA">
      <w:pPr>
        <w:widowControl w:val="0"/>
        <w:spacing w:line="360" w:lineRule="auto"/>
        <w:ind w:left="2940"/>
        <w:jc w:val="both"/>
        <w:rPr>
          <w:rFonts w:ascii="宋体" w:hAnsi="宋体" w:eastAsia="宋体" w:cs="Times New Roman"/>
          <w:color w:val="auto"/>
          <w:sz w:val="21"/>
          <w:highlight w:val="none"/>
          <w:lang w:val="en-US" w:eastAsia="zh-CN" w:bidi="ar-SA"/>
        </w:rPr>
      </w:pPr>
      <w:r>
        <w:rPr>
          <w:rFonts w:hint="eastAsia" w:ascii="宋体" w:hAnsi="宋体" w:eastAsia="宋体" w:cs="Times New Roman"/>
          <w:color w:val="auto"/>
          <w:sz w:val="21"/>
          <w:highlight w:val="none"/>
          <w:lang w:val="en-US" w:eastAsia="zh-CN" w:bidi="ar-SA"/>
        </w:rPr>
        <w:br w:type="page"/>
      </w:r>
    </w:p>
    <w:p w14:paraId="14C2A778">
      <w:pPr>
        <w:snapToGrid w:val="0"/>
        <w:spacing w:line="360" w:lineRule="auto"/>
        <w:rPr>
          <w:rFonts w:ascii="宋体" w:hAnsi="宋体" w:eastAsia="宋体" w:cs="Times New Roman"/>
          <w:b/>
          <w:color w:val="auto"/>
          <w:kern w:val="0"/>
          <w:sz w:val="30"/>
          <w:szCs w:val="20"/>
          <w:highlight w:val="none"/>
        </w:rPr>
      </w:pPr>
      <w:r>
        <w:rPr>
          <w:rFonts w:hint="eastAsia" w:ascii="宋体" w:hAnsi="宋体" w:eastAsia="宋体" w:cs="Times New Roman"/>
          <w:b/>
          <w:color w:val="auto"/>
          <w:kern w:val="0"/>
          <w:sz w:val="30"/>
          <w:szCs w:val="20"/>
          <w:highlight w:val="none"/>
        </w:rPr>
        <w:t>附件</w:t>
      </w:r>
      <w:r>
        <w:rPr>
          <w:rFonts w:hint="eastAsia" w:ascii="宋体" w:hAnsi="宋体" w:cs="Times New Roman"/>
          <w:b/>
          <w:color w:val="auto"/>
          <w:kern w:val="0"/>
          <w:sz w:val="30"/>
          <w:szCs w:val="20"/>
          <w:highlight w:val="none"/>
          <w:lang w:val="en-US" w:eastAsia="zh-CN"/>
        </w:rPr>
        <w:t>5</w:t>
      </w:r>
      <w:r>
        <w:rPr>
          <w:rFonts w:hint="eastAsia" w:ascii="宋体" w:hAnsi="宋体" w:eastAsia="宋体" w:cs="Times New Roman"/>
          <w:b/>
          <w:color w:val="auto"/>
          <w:kern w:val="0"/>
          <w:sz w:val="30"/>
          <w:szCs w:val="20"/>
          <w:highlight w:val="none"/>
        </w:rPr>
        <w:t xml:space="preserve">-4          </w:t>
      </w:r>
    </w:p>
    <w:p w14:paraId="67EC4186">
      <w:pPr>
        <w:snapToGrid w:val="0"/>
        <w:spacing w:line="360" w:lineRule="auto"/>
        <w:jc w:val="center"/>
        <w:rPr>
          <w:rFonts w:ascii="宋体" w:hAnsi="宋体" w:eastAsia="宋体" w:cs="Times New Roman"/>
          <w:b/>
          <w:color w:val="auto"/>
          <w:kern w:val="0"/>
          <w:sz w:val="28"/>
          <w:szCs w:val="20"/>
          <w:highlight w:val="none"/>
        </w:rPr>
      </w:pPr>
      <w:r>
        <w:rPr>
          <w:rFonts w:hint="eastAsia" w:ascii="宋体" w:hAnsi="宋体" w:eastAsia="宋体" w:cs="Times New Roman"/>
          <w:b/>
          <w:color w:val="auto"/>
          <w:kern w:val="0"/>
          <w:sz w:val="28"/>
          <w:szCs w:val="20"/>
          <w:highlight w:val="none"/>
        </w:rPr>
        <w:t>参加政府采购活动前三年内在经营活动中</w:t>
      </w:r>
    </w:p>
    <w:p w14:paraId="067C8C5F">
      <w:pPr>
        <w:snapToGrid w:val="0"/>
        <w:spacing w:line="360" w:lineRule="auto"/>
        <w:jc w:val="center"/>
        <w:rPr>
          <w:rFonts w:ascii="宋体" w:hAnsi="宋体" w:eastAsia="宋体" w:cs="Times New Roman"/>
          <w:b/>
          <w:color w:val="auto"/>
          <w:kern w:val="0"/>
          <w:sz w:val="28"/>
          <w:szCs w:val="20"/>
          <w:highlight w:val="none"/>
        </w:rPr>
      </w:pPr>
      <w:r>
        <w:rPr>
          <w:rFonts w:hint="eastAsia" w:ascii="宋体" w:hAnsi="宋体" w:eastAsia="宋体" w:cs="Times New Roman"/>
          <w:b/>
          <w:color w:val="auto"/>
          <w:kern w:val="0"/>
          <w:sz w:val="28"/>
          <w:szCs w:val="20"/>
          <w:highlight w:val="none"/>
        </w:rPr>
        <w:t>没有重大违法记录的书面声明</w:t>
      </w:r>
    </w:p>
    <w:p w14:paraId="206ECD2E">
      <w:pPr>
        <w:snapToGrid w:val="0"/>
        <w:spacing w:line="360" w:lineRule="auto"/>
        <w:ind w:right="23"/>
        <w:rPr>
          <w:rFonts w:ascii="宋体" w:hAnsi="宋体" w:eastAsia="宋体" w:cs="Times New Roman"/>
          <w:color w:val="auto"/>
          <w:kern w:val="0"/>
          <w:sz w:val="24"/>
          <w:szCs w:val="20"/>
          <w:highlight w:val="none"/>
        </w:rPr>
      </w:pPr>
    </w:p>
    <w:p w14:paraId="629E76C8">
      <w:pPr>
        <w:snapToGrid w:val="0"/>
        <w:spacing w:before="120" w:line="360" w:lineRule="auto"/>
        <w:ind w:firstLine="420"/>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致</w:t>
      </w:r>
      <w:r>
        <w:rPr>
          <w:rFonts w:hint="eastAsia" w:ascii="宋体" w:hAnsi="宋体" w:eastAsia="宋体" w:cs="Times New Roman"/>
          <w:color w:val="auto"/>
          <w:kern w:val="0"/>
          <w:szCs w:val="20"/>
          <w:highlight w:val="none"/>
          <w:u w:val="single"/>
        </w:rPr>
        <w:t xml:space="preserve">              (采购代理机构)</w:t>
      </w:r>
      <w:r>
        <w:rPr>
          <w:rFonts w:hint="eastAsia" w:ascii="宋体" w:hAnsi="宋体" w:eastAsia="宋体" w:cs="Times New Roman"/>
          <w:color w:val="auto"/>
          <w:kern w:val="0"/>
          <w:szCs w:val="20"/>
          <w:highlight w:val="none"/>
        </w:rPr>
        <w:t>：</w:t>
      </w:r>
    </w:p>
    <w:p w14:paraId="58C41250">
      <w:pPr>
        <w:snapToGrid w:val="0"/>
        <w:spacing w:before="120" w:line="360" w:lineRule="auto"/>
        <w:ind w:firstLine="420"/>
        <w:rPr>
          <w:rFonts w:ascii="宋体" w:hAnsi="宋体" w:eastAsia="宋体" w:cs="Times New Roman"/>
          <w:color w:val="auto"/>
          <w:kern w:val="0"/>
          <w:szCs w:val="20"/>
          <w:highlight w:val="none"/>
        </w:rPr>
      </w:pPr>
    </w:p>
    <w:p w14:paraId="634E2CCA">
      <w:pPr>
        <w:snapToGrid w:val="0"/>
        <w:spacing w:before="120" w:line="360" w:lineRule="auto"/>
        <w:ind w:firstLine="420"/>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我单位在参加采购活动前三年内在经营活动中没有政府采购法第二十二条第一款第（五）项所称重大违法记录，包括：</w:t>
      </w:r>
    </w:p>
    <w:p w14:paraId="3CF46EC8">
      <w:pPr>
        <w:snapToGrid w:val="0"/>
        <w:spacing w:before="120" w:line="360" w:lineRule="auto"/>
        <w:ind w:firstLine="420"/>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受到刑事处罚，受到200万元以上的罚款、责令停产停业、在一至三年内禁止参加政府采购活动、暂扣或者吊销许可证、暂扣或者吊销执照等情形之一的行政处罚，或者存在财政部门认定的其他重大违法记录。</w:t>
      </w:r>
    </w:p>
    <w:p w14:paraId="39C0763D">
      <w:pPr>
        <w:snapToGrid w:val="0"/>
        <w:spacing w:before="120" w:line="360" w:lineRule="auto"/>
        <w:ind w:firstLine="420"/>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特此声明！</w:t>
      </w:r>
    </w:p>
    <w:p w14:paraId="604C22BF">
      <w:pPr>
        <w:snapToGrid w:val="0"/>
        <w:spacing w:before="120" w:line="360" w:lineRule="auto"/>
        <w:ind w:firstLine="420"/>
        <w:rPr>
          <w:rFonts w:ascii="宋体" w:hAnsi="宋体" w:eastAsia="宋体" w:cs="Times New Roman"/>
          <w:color w:val="auto"/>
          <w:kern w:val="0"/>
          <w:szCs w:val="20"/>
          <w:highlight w:val="none"/>
        </w:rPr>
      </w:pPr>
    </w:p>
    <w:p w14:paraId="2BB4EDF8">
      <w:pPr>
        <w:snapToGrid w:val="0"/>
        <w:spacing w:before="120" w:line="360" w:lineRule="auto"/>
        <w:ind w:firstLine="420"/>
        <w:rPr>
          <w:rFonts w:ascii="宋体" w:hAnsi="宋体" w:eastAsia="宋体" w:cs="Times New Roman"/>
          <w:color w:val="auto"/>
          <w:kern w:val="0"/>
          <w:szCs w:val="20"/>
          <w:highlight w:val="none"/>
        </w:rPr>
      </w:pPr>
    </w:p>
    <w:p w14:paraId="14C7A761">
      <w:pPr>
        <w:snapToGrid w:val="0"/>
        <w:spacing w:line="360" w:lineRule="atLeast"/>
        <w:ind w:firstLine="420" w:firstLineChars="200"/>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t>供应商名称(盖单位章)：</w:t>
      </w:r>
    </w:p>
    <w:p w14:paraId="66186DB6">
      <w:pPr>
        <w:snapToGrid w:val="0"/>
        <w:spacing w:before="120" w:line="360" w:lineRule="auto"/>
        <w:ind w:firstLine="420"/>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 xml:space="preserve">法定代表人或其委托代理人（签字）：              </w:t>
      </w:r>
    </w:p>
    <w:p w14:paraId="2A69921D">
      <w:pPr>
        <w:snapToGrid w:val="0"/>
        <w:spacing w:before="120" w:line="360" w:lineRule="auto"/>
        <w:ind w:firstLine="420"/>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日期：</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年</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月</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日</w:t>
      </w:r>
    </w:p>
    <w:p w14:paraId="1E15AB45">
      <w:pPr>
        <w:autoSpaceDE w:val="0"/>
        <w:autoSpaceDN w:val="0"/>
        <w:snapToGrid w:val="0"/>
        <w:spacing w:line="360" w:lineRule="auto"/>
        <w:jc w:val="left"/>
        <w:rPr>
          <w:rFonts w:ascii="宋体" w:hAnsi="宋体" w:eastAsia="宋体" w:cs="Times New Roman"/>
          <w:color w:val="auto"/>
          <w:kern w:val="0"/>
          <w:sz w:val="20"/>
          <w:szCs w:val="20"/>
          <w:highlight w:val="none"/>
        </w:rPr>
      </w:pPr>
    </w:p>
    <w:p w14:paraId="41838920">
      <w:pPr>
        <w:snapToGrid w:val="0"/>
        <w:spacing w:line="360" w:lineRule="auto"/>
        <w:rPr>
          <w:rFonts w:ascii="宋体" w:hAnsi="宋体" w:eastAsia="宋体" w:cs="Times New Roman"/>
          <w:b/>
          <w:color w:val="auto"/>
          <w:kern w:val="0"/>
          <w:sz w:val="30"/>
          <w:szCs w:val="20"/>
          <w:highlight w:val="none"/>
        </w:rPr>
      </w:pPr>
      <w:r>
        <w:rPr>
          <w:rFonts w:ascii="宋体" w:hAnsi="宋体" w:eastAsia="宋体" w:cs="Times New Roman"/>
          <w:color w:val="auto"/>
          <w:kern w:val="0"/>
          <w:szCs w:val="20"/>
          <w:highlight w:val="none"/>
        </w:rPr>
        <w:br w:type="page"/>
      </w:r>
      <w:r>
        <w:rPr>
          <w:rFonts w:hint="eastAsia" w:ascii="宋体" w:hAnsi="宋体" w:eastAsia="宋体" w:cs="Times New Roman"/>
          <w:b/>
          <w:color w:val="auto"/>
          <w:kern w:val="0"/>
          <w:sz w:val="30"/>
          <w:szCs w:val="20"/>
          <w:highlight w:val="none"/>
        </w:rPr>
        <w:t>附件</w:t>
      </w:r>
      <w:r>
        <w:rPr>
          <w:rFonts w:hint="eastAsia" w:ascii="宋体" w:hAnsi="宋体" w:cs="Times New Roman"/>
          <w:b/>
          <w:color w:val="auto"/>
          <w:kern w:val="0"/>
          <w:sz w:val="30"/>
          <w:szCs w:val="20"/>
          <w:highlight w:val="none"/>
          <w:lang w:val="en-US" w:eastAsia="zh-CN"/>
        </w:rPr>
        <w:t>5</w:t>
      </w:r>
      <w:r>
        <w:rPr>
          <w:rFonts w:hint="eastAsia" w:ascii="宋体" w:hAnsi="宋体" w:eastAsia="宋体" w:cs="Times New Roman"/>
          <w:b/>
          <w:color w:val="auto"/>
          <w:kern w:val="0"/>
          <w:sz w:val="30"/>
          <w:szCs w:val="20"/>
          <w:highlight w:val="none"/>
        </w:rPr>
        <w:t>-5</w:t>
      </w:r>
    </w:p>
    <w:p w14:paraId="3BF69DEA">
      <w:pPr>
        <w:snapToGrid w:val="0"/>
        <w:spacing w:line="360" w:lineRule="auto"/>
        <w:jc w:val="center"/>
        <w:rPr>
          <w:rFonts w:ascii="宋体" w:hAnsi="宋体" w:eastAsia="宋体" w:cs="Times New Roman"/>
          <w:b/>
          <w:color w:val="auto"/>
          <w:kern w:val="0"/>
          <w:sz w:val="30"/>
          <w:szCs w:val="20"/>
          <w:highlight w:val="none"/>
        </w:rPr>
      </w:pPr>
      <w:r>
        <w:rPr>
          <w:rFonts w:hint="eastAsia" w:ascii="宋体" w:hAnsi="宋体" w:eastAsia="宋体" w:cs="Times New Roman"/>
          <w:b/>
          <w:color w:val="auto"/>
          <w:kern w:val="0"/>
          <w:sz w:val="30"/>
          <w:szCs w:val="20"/>
          <w:highlight w:val="none"/>
        </w:rPr>
        <w:t>其他证明资料或说明</w:t>
      </w:r>
    </w:p>
    <w:p w14:paraId="3D71960D">
      <w:pPr>
        <w:snapToGrid w:val="0"/>
        <w:spacing w:line="360" w:lineRule="auto"/>
        <w:rPr>
          <w:rFonts w:ascii="宋体" w:hAnsi="宋体" w:eastAsia="宋体" w:cs="Times New Roman"/>
          <w:color w:val="auto"/>
          <w:kern w:val="0"/>
          <w:szCs w:val="20"/>
          <w:highlight w:val="none"/>
        </w:rPr>
      </w:pPr>
    </w:p>
    <w:p w14:paraId="4AE8EC05">
      <w:pPr>
        <w:snapToGrid w:val="0"/>
        <w:spacing w:line="360" w:lineRule="auto"/>
        <w:rPr>
          <w:rFonts w:ascii="宋体" w:hAnsi="宋体" w:eastAsia="宋体" w:cs="Times New Roman"/>
          <w:b/>
          <w:color w:val="auto"/>
          <w:kern w:val="0"/>
          <w:szCs w:val="20"/>
          <w:highlight w:val="none"/>
        </w:rPr>
      </w:pPr>
      <w:r>
        <w:rPr>
          <w:rFonts w:hint="eastAsia" w:ascii="宋体" w:hAnsi="宋体" w:eastAsia="宋体" w:cs="Times New Roman"/>
          <w:b/>
          <w:color w:val="auto"/>
          <w:kern w:val="0"/>
          <w:szCs w:val="20"/>
          <w:highlight w:val="none"/>
        </w:rPr>
        <w:t>提供磋商文件或评分标准需要提供的相关证明文件复印件,并加盖投标供应商公章，否则不计分。</w:t>
      </w:r>
    </w:p>
    <w:p w14:paraId="586C9692">
      <w:pPr>
        <w:snapToGrid w:val="0"/>
        <w:spacing w:line="360" w:lineRule="auto"/>
        <w:jc w:val="center"/>
        <w:rPr>
          <w:rFonts w:ascii="宋体" w:hAnsi="宋体" w:eastAsia="宋体" w:cs="Times New Roman"/>
          <w:b/>
          <w:color w:val="auto"/>
          <w:kern w:val="0"/>
          <w:sz w:val="32"/>
          <w:szCs w:val="20"/>
          <w:highlight w:val="none"/>
        </w:rPr>
      </w:pPr>
    </w:p>
    <w:p w14:paraId="5DDEEC68">
      <w:pPr>
        <w:snapToGrid w:val="0"/>
        <w:spacing w:line="360" w:lineRule="auto"/>
        <w:jc w:val="center"/>
        <w:rPr>
          <w:rFonts w:ascii="宋体" w:hAnsi="宋体" w:eastAsia="宋体" w:cs="Times New Roman"/>
          <w:b/>
          <w:color w:val="auto"/>
          <w:kern w:val="0"/>
          <w:sz w:val="32"/>
          <w:szCs w:val="20"/>
          <w:highlight w:val="none"/>
        </w:rPr>
      </w:pPr>
    </w:p>
    <w:p w14:paraId="37D39DA6">
      <w:pPr>
        <w:snapToGrid w:val="0"/>
        <w:spacing w:line="360" w:lineRule="auto"/>
        <w:jc w:val="center"/>
        <w:rPr>
          <w:rFonts w:ascii="宋体" w:hAnsi="宋体" w:eastAsia="宋体" w:cs="Times New Roman"/>
          <w:b/>
          <w:color w:val="auto"/>
          <w:kern w:val="0"/>
          <w:sz w:val="32"/>
          <w:szCs w:val="20"/>
          <w:highlight w:val="none"/>
        </w:rPr>
      </w:pPr>
    </w:p>
    <w:p w14:paraId="4C77DFF0">
      <w:pPr>
        <w:snapToGrid w:val="0"/>
        <w:spacing w:line="360" w:lineRule="auto"/>
        <w:jc w:val="center"/>
        <w:rPr>
          <w:rFonts w:ascii="宋体" w:hAnsi="宋体" w:eastAsia="宋体" w:cs="Times New Roman"/>
          <w:b/>
          <w:color w:val="auto"/>
          <w:kern w:val="0"/>
          <w:sz w:val="32"/>
          <w:szCs w:val="20"/>
          <w:highlight w:val="none"/>
        </w:rPr>
      </w:pPr>
    </w:p>
    <w:p w14:paraId="7A924EAE">
      <w:pPr>
        <w:snapToGrid w:val="0"/>
        <w:spacing w:line="360" w:lineRule="auto"/>
        <w:jc w:val="center"/>
        <w:rPr>
          <w:rFonts w:ascii="宋体" w:hAnsi="宋体" w:eastAsia="宋体" w:cs="Times New Roman"/>
          <w:b/>
          <w:color w:val="auto"/>
          <w:kern w:val="0"/>
          <w:sz w:val="32"/>
          <w:szCs w:val="20"/>
          <w:highlight w:val="none"/>
        </w:rPr>
      </w:pPr>
    </w:p>
    <w:p w14:paraId="5552CE50">
      <w:pPr>
        <w:snapToGrid w:val="0"/>
        <w:spacing w:line="360" w:lineRule="auto"/>
        <w:jc w:val="center"/>
        <w:rPr>
          <w:rFonts w:ascii="宋体" w:hAnsi="宋体" w:eastAsia="宋体" w:cs="Times New Roman"/>
          <w:b/>
          <w:color w:val="auto"/>
          <w:kern w:val="0"/>
          <w:sz w:val="32"/>
          <w:szCs w:val="20"/>
          <w:highlight w:val="none"/>
        </w:rPr>
      </w:pPr>
    </w:p>
    <w:p w14:paraId="5417FFBA">
      <w:pPr>
        <w:snapToGrid w:val="0"/>
        <w:spacing w:line="360" w:lineRule="auto"/>
        <w:jc w:val="center"/>
        <w:rPr>
          <w:rFonts w:ascii="宋体" w:hAnsi="宋体" w:eastAsia="宋体" w:cs="Times New Roman"/>
          <w:b/>
          <w:color w:val="auto"/>
          <w:kern w:val="0"/>
          <w:sz w:val="32"/>
          <w:szCs w:val="20"/>
          <w:highlight w:val="none"/>
        </w:rPr>
      </w:pPr>
    </w:p>
    <w:p w14:paraId="16F3CE68">
      <w:pPr>
        <w:snapToGrid w:val="0"/>
        <w:spacing w:line="360" w:lineRule="auto"/>
        <w:jc w:val="center"/>
        <w:rPr>
          <w:rFonts w:ascii="宋体" w:hAnsi="宋体" w:eastAsia="宋体" w:cs="Times New Roman"/>
          <w:b/>
          <w:color w:val="auto"/>
          <w:kern w:val="0"/>
          <w:sz w:val="32"/>
          <w:szCs w:val="20"/>
          <w:highlight w:val="none"/>
        </w:rPr>
      </w:pPr>
    </w:p>
    <w:p w14:paraId="743D425C">
      <w:pPr>
        <w:snapToGrid w:val="0"/>
        <w:spacing w:line="360" w:lineRule="auto"/>
        <w:jc w:val="center"/>
        <w:rPr>
          <w:rFonts w:ascii="宋体" w:hAnsi="宋体" w:eastAsia="宋体" w:cs="Times New Roman"/>
          <w:b/>
          <w:color w:val="auto"/>
          <w:kern w:val="0"/>
          <w:sz w:val="32"/>
          <w:szCs w:val="20"/>
          <w:highlight w:val="none"/>
        </w:rPr>
      </w:pPr>
    </w:p>
    <w:p w14:paraId="14F4FD19">
      <w:pPr>
        <w:snapToGrid w:val="0"/>
        <w:spacing w:line="360" w:lineRule="auto"/>
        <w:jc w:val="center"/>
        <w:rPr>
          <w:rFonts w:ascii="宋体" w:hAnsi="宋体" w:eastAsia="宋体" w:cs="Times New Roman"/>
          <w:b/>
          <w:color w:val="auto"/>
          <w:kern w:val="0"/>
          <w:sz w:val="32"/>
          <w:szCs w:val="20"/>
          <w:highlight w:val="none"/>
        </w:rPr>
      </w:pPr>
    </w:p>
    <w:p w14:paraId="5783FA37">
      <w:pPr>
        <w:snapToGrid w:val="0"/>
        <w:spacing w:line="360" w:lineRule="auto"/>
        <w:jc w:val="center"/>
        <w:rPr>
          <w:rFonts w:ascii="宋体" w:hAnsi="宋体" w:eastAsia="宋体" w:cs="Times New Roman"/>
          <w:b/>
          <w:color w:val="auto"/>
          <w:kern w:val="0"/>
          <w:sz w:val="32"/>
          <w:szCs w:val="20"/>
          <w:highlight w:val="none"/>
        </w:rPr>
      </w:pPr>
    </w:p>
    <w:p w14:paraId="301DD8FC">
      <w:pPr>
        <w:snapToGrid w:val="0"/>
        <w:spacing w:line="360" w:lineRule="auto"/>
        <w:jc w:val="center"/>
        <w:rPr>
          <w:rFonts w:ascii="宋体" w:hAnsi="宋体" w:eastAsia="宋体" w:cs="Times New Roman"/>
          <w:b/>
          <w:color w:val="auto"/>
          <w:kern w:val="0"/>
          <w:sz w:val="32"/>
          <w:szCs w:val="20"/>
          <w:highlight w:val="none"/>
        </w:rPr>
      </w:pPr>
    </w:p>
    <w:p w14:paraId="0B9F757C">
      <w:pPr>
        <w:snapToGrid w:val="0"/>
        <w:spacing w:line="360" w:lineRule="auto"/>
        <w:jc w:val="center"/>
        <w:rPr>
          <w:rFonts w:ascii="宋体" w:hAnsi="宋体" w:eastAsia="宋体" w:cs="Times New Roman"/>
          <w:b/>
          <w:color w:val="auto"/>
          <w:kern w:val="0"/>
          <w:sz w:val="32"/>
          <w:szCs w:val="20"/>
          <w:highlight w:val="none"/>
        </w:rPr>
      </w:pPr>
    </w:p>
    <w:p w14:paraId="12E58D73">
      <w:pPr>
        <w:snapToGrid w:val="0"/>
        <w:spacing w:line="360" w:lineRule="auto"/>
        <w:jc w:val="center"/>
        <w:rPr>
          <w:rFonts w:ascii="宋体" w:hAnsi="宋体" w:eastAsia="宋体" w:cs="Times New Roman"/>
          <w:b/>
          <w:color w:val="auto"/>
          <w:kern w:val="0"/>
          <w:sz w:val="32"/>
          <w:szCs w:val="20"/>
          <w:highlight w:val="none"/>
        </w:rPr>
      </w:pPr>
    </w:p>
    <w:p w14:paraId="1338EAF3">
      <w:pPr>
        <w:snapToGrid w:val="0"/>
        <w:spacing w:line="360" w:lineRule="auto"/>
        <w:jc w:val="center"/>
        <w:rPr>
          <w:rFonts w:ascii="宋体" w:hAnsi="宋体" w:eastAsia="宋体" w:cs="Times New Roman"/>
          <w:b/>
          <w:color w:val="auto"/>
          <w:kern w:val="0"/>
          <w:sz w:val="32"/>
          <w:szCs w:val="20"/>
          <w:highlight w:val="none"/>
        </w:rPr>
      </w:pPr>
    </w:p>
    <w:p w14:paraId="3B2AD1C0">
      <w:pPr>
        <w:snapToGrid w:val="0"/>
        <w:spacing w:line="360" w:lineRule="auto"/>
        <w:jc w:val="center"/>
        <w:rPr>
          <w:rFonts w:ascii="宋体" w:hAnsi="宋体" w:eastAsia="宋体" w:cs="Times New Roman"/>
          <w:b/>
          <w:color w:val="auto"/>
          <w:kern w:val="0"/>
          <w:sz w:val="32"/>
          <w:szCs w:val="20"/>
          <w:highlight w:val="none"/>
        </w:rPr>
      </w:pPr>
    </w:p>
    <w:p w14:paraId="501B0DB0">
      <w:pPr>
        <w:snapToGrid w:val="0"/>
        <w:spacing w:line="360" w:lineRule="auto"/>
        <w:jc w:val="center"/>
        <w:rPr>
          <w:rFonts w:ascii="宋体" w:hAnsi="宋体" w:eastAsia="宋体" w:cs="Times New Roman"/>
          <w:b/>
          <w:color w:val="auto"/>
          <w:kern w:val="0"/>
          <w:sz w:val="32"/>
          <w:szCs w:val="20"/>
          <w:highlight w:val="none"/>
        </w:rPr>
      </w:pPr>
    </w:p>
    <w:p w14:paraId="776204E2">
      <w:pPr>
        <w:snapToGrid w:val="0"/>
        <w:spacing w:line="360" w:lineRule="auto"/>
        <w:jc w:val="center"/>
        <w:rPr>
          <w:rFonts w:ascii="宋体" w:hAnsi="宋体" w:eastAsia="宋体" w:cs="Times New Roman"/>
          <w:b/>
          <w:color w:val="auto"/>
          <w:kern w:val="0"/>
          <w:sz w:val="32"/>
          <w:szCs w:val="20"/>
          <w:highlight w:val="none"/>
        </w:rPr>
      </w:pPr>
    </w:p>
    <w:p w14:paraId="0900410F">
      <w:pPr>
        <w:snapToGrid w:val="0"/>
        <w:spacing w:line="360" w:lineRule="auto"/>
        <w:jc w:val="center"/>
        <w:rPr>
          <w:rFonts w:ascii="宋体" w:hAnsi="宋体" w:eastAsia="宋体" w:cs="Times New Roman"/>
          <w:b/>
          <w:color w:val="auto"/>
          <w:kern w:val="0"/>
          <w:sz w:val="32"/>
          <w:szCs w:val="20"/>
          <w:highlight w:val="none"/>
        </w:rPr>
      </w:pPr>
    </w:p>
    <w:p w14:paraId="11C76409">
      <w:pPr>
        <w:snapToGrid w:val="0"/>
        <w:spacing w:line="360" w:lineRule="auto"/>
        <w:jc w:val="center"/>
        <w:rPr>
          <w:rFonts w:ascii="宋体" w:hAnsi="宋体" w:eastAsia="宋体" w:cs="Times New Roman"/>
          <w:b/>
          <w:color w:val="auto"/>
          <w:kern w:val="0"/>
          <w:sz w:val="30"/>
          <w:szCs w:val="20"/>
          <w:highlight w:val="none"/>
        </w:rPr>
      </w:pPr>
      <w:r>
        <w:rPr>
          <w:rFonts w:hint="eastAsia" w:ascii="宋体" w:hAnsi="宋体" w:eastAsia="宋体" w:cs="Times New Roman"/>
          <w:b/>
          <w:color w:val="auto"/>
          <w:kern w:val="0"/>
          <w:sz w:val="30"/>
          <w:szCs w:val="20"/>
          <w:highlight w:val="none"/>
        </w:rPr>
        <w:t>四、技术方案</w:t>
      </w:r>
    </w:p>
    <w:p w14:paraId="73E5F3FD">
      <w:pPr>
        <w:snapToGrid w:val="0"/>
        <w:spacing w:line="360" w:lineRule="auto"/>
        <w:rPr>
          <w:rFonts w:ascii="宋体" w:hAnsi="宋体" w:eastAsia="宋体" w:cs="Times New Roman"/>
          <w:color w:val="auto"/>
          <w:kern w:val="0"/>
          <w:sz w:val="30"/>
          <w:szCs w:val="20"/>
          <w:highlight w:val="none"/>
        </w:rPr>
      </w:pPr>
      <w:r>
        <w:rPr>
          <w:rFonts w:hint="eastAsia" w:ascii="宋体" w:hAnsi="宋体" w:eastAsia="宋体" w:cs="Times New Roman"/>
          <w:color w:val="auto"/>
          <w:kern w:val="0"/>
          <w:sz w:val="30"/>
          <w:szCs w:val="20"/>
          <w:highlight w:val="none"/>
        </w:rPr>
        <w:t>附件</w:t>
      </w:r>
      <w:r>
        <w:rPr>
          <w:rFonts w:hint="eastAsia" w:ascii="宋体" w:hAnsi="宋体" w:cs="Times New Roman"/>
          <w:color w:val="auto"/>
          <w:kern w:val="0"/>
          <w:sz w:val="30"/>
          <w:szCs w:val="20"/>
          <w:highlight w:val="none"/>
          <w:lang w:val="en-US" w:eastAsia="zh-CN"/>
        </w:rPr>
        <w:t>6</w:t>
      </w:r>
      <w:r>
        <w:rPr>
          <w:rFonts w:hint="eastAsia" w:ascii="宋体" w:hAnsi="宋体" w:eastAsia="宋体" w:cs="Times New Roman"/>
          <w:color w:val="auto"/>
          <w:kern w:val="0"/>
          <w:sz w:val="30"/>
          <w:szCs w:val="20"/>
          <w:highlight w:val="none"/>
        </w:rPr>
        <w:t xml:space="preserve">：    </w:t>
      </w:r>
    </w:p>
    <w:p w14:paraId="1C91FE54">
      <w:pPr>
        <w:snapToGrid w:val="0"/>
        <w:spacing w:line="360" w:lineRule="auto"/>
        <w:jc w:val="center"/>
        <w:rPr>
          <w:rFonts w:ascii="宋体" w:hAnsi="宋体" w:eastAsia="宋体" w:cs="Times New Roman"/>
          <w:color w:val="auto"/>
          <w:kern w:val="0"/>
          <w:sz w:val="30"/>
          <w:szCs w:val="20"/>
          <w:highlight w:val="none"/>
        </w:rPr>
      </w:pPr>
      <w:r>
        <w:rPr>
          <w:rFonts w:hint="eastAsia" w:ascii="宋体" w:hAnsi="宋体" w:eastAsia="宋体" w:cs="Times New Roman"/>
          <w:color w:val="auto"/>
          <w:kern w:val="0"/>
          <w:sz w:val="30"/>
          <w:szCs w:val="20"/>
          <w:highlight w:val="none"/>
        </w:rPr>
        <w:t>施工组织设计</w:t>
      </w:r>
    </w:p>
    <w:p w14:paraId="368E4DE5">
      <w:pPr>
        <w:snapToGrid w:val="0"/>
        <w:spacing w:line="360" w:lineRule="auto"/>
        <w:rPr>
          <w:rFonts w:ascii="宋体" w:hAnsi="宋体" w:eastAsia="宋体" w:cs="Times New Roman"/>
          <w:color w:val="auto"/>
          <w:kern w:val="0"/>
          <w:sz w:val="30"/>
          <w:szCs w:val="20"/>
          <w:highlight w:val="none"/>
        </w:rPr>
      </w:pPr>
    </w:p>
    <w:p w14:paraId="652EF72F">
      <w:pPr>
        <w:snapToGrid w:val="0"/>
        <w:spacing w:line="360" w:lineRule="auto"/>
        <w:ind w:firstLine="420"/>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供应商应递交完整的施工组织设计，说明各分部分项工程的施工方法和布置，提交包括临时设施和施工道路的施工总布置图及其它的图表、文字说明书等资料，《施工组织设计》技术文件应包括的内容（不仅限于以下内容、可自行增加）：</w:t>
      </w:r>
    </w:p>
    <w:p w14:paraId="23189265">
      <w:pPr>
        <w:snapToGrid w:val="0"/>
        <w:spacing w:line="360" w:lineRule="auto"/>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一、施工方案与技术措施</w:t>
      </w:r>
    </w:p>
    <w:p w14:paraId="4516F131">
      <w:pPr>
        <w:snapToGrid w:val="0"/>
        <w:spacing w:line="360" w:lineRule="auto"/>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二、工程进度计划与保证措施</w:t>
      </w:r>
    </w:p>
    <w:p w14:paraId="71E8E655">
      <w:pPr>
        <w:snapToGrid w:val="0"/>
        <w:spacing w:line="360" w:lineRule="auto"/>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三、质量管理体系与措施</w:t>
      </w:r>
      <w:r>
        <w:rPr>
          <w:rFonts w:hint="eastAsia" w:ascii="宋体" w:hAnsi="宋体" w:eastAsia="宋体" w:cs="Times New Roman"/>
          <w:color w:val="auto"/>
          <w:kern w:val="0"/>
          <w:szCs w:val="20"/>
          <w:highlight w:val="none"/>
        </w:rPr>
        <w:tab/>
      </w:r>
    </w:p>
    <w:p w14:paraId="35CA13C0">
      <w:pPr>
        <w:snapToGrid w:val="0"/>
        <w:spacing w:line="360" w:lineRule="auto"/>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四、安全管理体系与措施</w:t>
      </w:r>
    </w:p>
    <w:p w14:paraId="1FB0BD11">
      <w:pPr>
        <w:snapToGrid w:val="0"/>
        <w:spacing w:line="360" w:lineRule="auto"/>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五、环境保护管理体系与措施</w:t>
      </w:r>
    </w:p>
    <w:p w14:paraId="616D91A1">
      <w:pPr>
        <w:snapToGrid w:val="0"/>
        <w:spacing w:line="360" w:lineRule="auto"/>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六、资源配备计划</w:t>
      </w:r>
    </w:p>
    <w:p w14:paraId="0F61C180">
      <w:pPr>
        <w:snapToGrid w:val="0"/>
        <w:spacing w:line="360" w:lineRule="auto"/>
        <w:rPr>
          <w:rFonts w:ascii="宋体" w:hAnsi="宋体" w:eastAsia="宋体" w:cs="Times New Roman"/>
          <w:color w:val="auto"/>
          <w:kern w:val="0"/>
          <w:szCs w:val="20"/>
          <w:highlight w:val="none"/>
        </w:rPr>
      </w:pPr>
    </w:p>
    <w:p w14:paraId="2A36BE60">
      <w:pPr>
        <w:snapToGrid w:val="0"/>
        <w:spacing w:line="360" w:lineRule="auto"/>
        <w:rPr>
          <w:rFonts w:ascii="宋体" w:hAnsi="宋体" w:eastAsia="宋体" w:cs="Times New Roman"/>
          <w:color w:val="auto"/>
          <w:kern w:val="0"/>
          <w:szCs w:val="20"/>
          <w:highlight w:val="none"/>
        </w:rPr>
      </w:pPr>
    </w:p>
    <w:p w14:paraId="15505242">
      <w:pPr>
        <w:snapToGrid w:val="0"/>
        <w:spacing w:line="360" w:lineRule="auto"/>
        <w:rPr>
          <w:rFonts w:ascii="宋体" w:hAnsi="宋体" w:eastAsia="宋体" w:cs="Times New Roman"/>
          <w:color w:val="auto"/>
          <w:kern w:val="0"/>
          <w:szCs w:val="20"/>
          <w:highlight w:val="none"/>
        </w:rPr>
      </w:pPr>
    </w:p>
    <w:p w14:paraId="72BF251D">
      <w:pPr>
        <w:snapToGrid w:val="0"/>
        <w:spacing w:line="360" w:lineRule="auto"/>
        <w:rPr>
          <w:rFonts w:ascii="宋体" w:hAnsi="宋体" w:eastAsia="宋体" w:cs="Times New Roman"/>
          <w:color w:val="auto"/>
          <w:kern w:val="0"/>
          <w:szCs w:val="20"/>
          <w:highlight w:val="none"/>
        </w:rPr>
      </w:pPr>
    </w:p>
    <w:p w14:paraId="05BEACC2">
      <w:pPr>
        <w:snapToGrid w:val="0"/>
        <w:spacing w:line="360" w:lineRule="auto"/>
        <w:rPr>
          <w:rFonts w:ascii="宋体" w:hAnsi="宋体" w:eastAsia="宋体" w:cs="Times New Roman"/>
          <w:color w:val="auto"/>
          <w:kern w:val="0"/>
          <w:szCs w:val="20"/>
          <w:highlight w:val="none"/>
        </w:rPr>
      </w:pPr>
    </w:p>
    <w:p w14:paraId="0922FA0D">
      <w:pPr>
        <w:snapToGrid w:val="0"/>
        <w:spacing w:line="360" w:lineRule="auto"/>
        <w:rPr>
          <w:rFonts w:ascii="宋体" w:hAnsi="宋体" w:eastAsia="宋体" w:cs="Times New Roman"/>
          <w:color w:val="auto"/>
          <w:kern w:val="0"/>
          <w:szCs w:val="20"/>
          <w:highlight w:val="none"/>
        </w:rPr>
      </w:pPr>
    </w:p>
    <w:p w14:paraId="2F551455">
      <w:pPr>
        <w:snapToGrid w:val="0"/>
        <w:spacing w:line="360" w:lineRule="auto"/>
        <w:rPr>
          <w:rFonts w:ascii="宋体" w:hAnsi="宋体" w:eastAsia="宋体" w:cs="Times New Roman"/>
          <w:color w:val="auto"/>
          <w:kern w:val="0"/>
          <w:szCs w:val="20"/>
          <w:highlight w:val="none"/>
        </w:rPr>
      </w:pPr>
    </w:p>
    <w:p w14:paraId="087F7490">
      <w:pPr>
        <w:snapToGrid w:val="0"/>
        <w:spacing w:line="360" w:lineRule="auto"/>
        <w:rPr>
          <w:rFonts w:ascii="宋体" w:hAnsi="宋体" w:eastAsia="宋体" w:cs="Times New Roman"/>
          <w:color w:val="auto"/>
          <w:kern w:val="0"/>
          <w:szCs w:val="20"/>
          <w:highlight w:val="none"/>
        </w:rPr>
      </w:pPr>
    </w:p>
    <w:p w14:paraId="00AD51B9">
      <w:pPr>
        <w:snapToGrid w:val="0"/>
        <w:spacing w:line="360" w:lineRule="auto"/>
        <w:rPr>
          <w:rFonts w:ascii="宋体" w:hAnsi="宋体" w:eastAsia="宋体" w:cs="Times New Roman"/>
          <w:color w:val="auto"/>
          <w:kern w:val="0"/>
          <w:szCs w:val="20"/>
          <w:highlight w:val="none"/>
        </w:rPr>
      </w:pPr>
    </w:p>
    <w:p w14:paraId="7FDAD28F">
      <w:pPr>
        <w:snapToGrid w:val="0"/>
        <w:spacing w:line="360" w:lineRule="auto"/>
        <w:rPr>
          <w:rFonts w:ascii="宋体" w:hAnsi="宋体" w:eastAsia="宋体" w:cs="Times New Roman"/>
          <w:color w:val="auto"/>
          <w:kern w:val="0"/>
          <w:szCs w:val="20"/>
          <w:highlight w:val="none"/>
        </w:rPr>
      </w:pPr>
    </w:p>
    <w:p w14:paraId="57D0BD27">
      <w:pPr>
        <w:snapToGrid w:val="0"/>
        <w:spacing w:line="360" w:lineRule="auto"/>
        <w:rPr>
          <w:rFonts w:ascii="宋体" w:hAnsi="宋体" w:eastAsia="宋体" w:cs="Times New Roman"/>
          <w:color w:val="auto"/>
          <w:kern w:val="0"/>
          <w:szCs w:val="20"/>
          <w:highlight w:val="none"/>
        </w:rPr>
      </w:pPr>
    </w:p>
    <w:p w14:paraId="3217E02E">
      <w:pPr>
        <w:snapToGrid w:val="0"/>
        <w:spacing w:line="360" w:lineRule="auto"/>
        <w:rPr>
          <w:rFonts w:ascii="宋体" w:hAnsi="宋体" w:eastAsia="宋体" w:cs="Times New Roman"/>
          <w:color w:val="auto"/>
          <w:kern w:val="0"/>
          <w:szCs w:val="20"/>
          <w:highlight w:val="none"/>
        </w:rPr>
      </w:pPr>
    </w:p>
    <w:p w14:paraId="1D498CDF">
      <w:pPr>
        <w:snapToGrid w:val="0"/>
        <w:spacing w:line="360" w:lineRule="auto"/>
        <w:rPr>
          <w:rFonts w:ascii="宋体" w:hAnsi="宋体" w:eastAsia="宋体" w:cs="Times New Roman"/>
          <w:color w:val="auto"/>
          <w:kern w:val="0"/>
          <w:szCs w:val="20"/>
          <w:highlight w:val="none"/>
        </w:rPr>
      </w:pPr>
    </w:p>
    <w:p w14:paraId="5CE153C2">
      <w:pPr>
        <w:snapToGrid w:val="0"/>
        <w:spacing w:line="360" w:lineRule="auto"/>
        <w:rPr>
          <w:rFonts w:ascii="宋体" w:hAnsi="宋体" w:eastAsia="宋体" w:cs="Times New Roman"/>
          <w:color w:val="auto"/>
          <w:kern w:val="0"/>
          <w:szCs w:val="20"/>
          <w:highlight w:val="none"/>
        </w:rPr>
      </w:pPr>
    </w:p>
    <w:p w14:paraId="3A59D6E1">
      <w:pPr>
        <w:snapToGrid w:val="0"/>
        <w:spacing w:line="360" w:lineRule="auto"/>
        <w:rPr>
          <w:rFonts w:ascii="宋体" w:hAnsi="宋体" w:eastAsia="宋体" w:cs="Times New Roman"/>
          <w:color w:val="auto"/>
          <w:kern w:val="0"/>
          <w:szCs w:val="20"/>
          <w:highlight w:val="none"/>
        </w:rPr>
      </w:pPr>
    </w:p>
    <w:p w14:paraId="017D6C84">
      <w:pPr>
        <w:snapToGrid w:val="0"/>
        <w:spacing w:line="360" w:lineRule="auto"/>
        <w:rPr>
          <w:rFonts w:ascii="宋体" w:hAnsi="宋体" w:eastAsia="宋体" w:cs="Times New Roman"/>
          <w:color w:val="auto"/>
          <w:kern w:val="0"/>
          <w:szCs w:val="20"/>
          <w:highlight w:val="none"/>
        </w:rPr>
      </w:pPr>
    </w:p>
    <w:p w14:paraId="5EC3B1E6">
      <w:pPr>
        <w:widowControl w:val="0"/>
        <w:autoSpaceDE w:val="0"/>
        <w:autoSpaceDN w:val="0"/>
        <w:adjustRightInd w:val="0"/>
        <w:spacing w:after="120"/>
        <w:ind w:left="420" w:firstLine="420"/>
        <w:jc w:val="left"/>
        <w:rPr>
          <w:rFonts w:ascii="Calibri" w:hAnsi="Calibri" w:eastAsia="宋体" w:cs="Times New Roman"/>
          <w:color w:val="auto"/>
          <w:sz w:val="20"/>
          <w:highlight w:val="none"/>
          <w:lang w:val="en-US" w:eastAsia="zh-CN" w:bidi="ar-SA"/>
        </w:rPr>
      </w:pPr>
    </w:p>
    <w:p w14:paraId="7B557654">
      <w:pPr>
        <w:widowControl w:val="0"/>
        <w:wordWrap w:val="0"/>
        <w:ind w:left="3400"/>
        <w:jc w:val="both"/>
        <w:rPr>
          <w:rFonts w:ascii="Times New Roman" w:hAnsi="Times New Roman" w:eastAsia="宋体" w:cs="Times New Roman"/>
          <w:color w:val="auto"/>
          <w:sz w:val="21"/>
          <w:highlight w:val="none"/>
          <w:lang w:val="en-US" w:eastAsia="zh-CN" w:bidi="ar-SA"/>
        </w:rPr>
      </w:pPr>
    </w:p>
    <w:p w14:paraId="64566BC0">
      <w:pPr>
        <w:rPr>
          <w:rFonts w:ascii="Times New Roman" w:hAnsi="Times New Roman" w:eastAsia="宋体" w:cs="Times New Roman"/>
          <w:color w:val="auto"/>
          <w:kern w:val="0"/>
          <w:szCs w:val="20"/>
          <w:highlight w:val="none"/>
        </w:rPr>
      </w:pPr>
    </w:p>
    <w:p w14:paraId="05E0D46C">
      <w:pPr>
        <w:widowControl w:val="0"/>
        <w:autoSpaceDE w:val="0"/>
        <w:autoSpaceDN w:val="0"/>
        <w:adjustRightInd w:val="0"/>
        <w:spacing w:after="120"/>
        <w:ind w:left="420" w:firstLine="420"/>
        <w:jc w:val="left"/>
        <w:rPr>
          <w:rFonts w:ascii="Calibri" w:hAnsi="Calibri" w:eastAsia="宋体" w:cs="Times New Roman"/>
          <w:color w:val="auto"/>
          <w:sz w:val="20"/>
          <w:highlight w:val="none"/>
          <w:lang w:val="en-US" w:eastAsia="zh-CN" w:bidi="ar-SA"/>
        </w:rPr>
      </w:pPr>
    </w:p>
    <w:p w14:paraId="4B7E9795">
      <w:pPr>
        <w:snapToGrid w:val="0"/>
        <w:spacing w:line="360" w:lineRule="auto"/>
        <w:rPr>
          <w:rFonts w:hint="eastAsia" w:ascii="宋体" w:hAnsi="宋体" w:eastAsia="宋体" w:cs="Times New Roman"/>
          <w:color w:val="auto"/>
          <w:kern w:val="0"/>
          <w:sz w:val="30"/>
          <w:szCs w:val="20"/>
          <w:highlight w:val="none"/>
          <w:lang w:eastAsia="zh-CN"/>
        </w:rPr>
      </w:pPr>
      <w:r>
        <w:rPr>
          <w:rFonts w:hint="eastAsia" w:ascii="宋体" w:hAnsi="宋体" w:eastAsia="宋体" w:cs="Times New Roman"/>
          <w:color w:val="auto"/>
          <w:kern w:val="0"/>
          <w:sz w:val="30"/>
          <w:szCs w:val="20"/>
          <w:highlight w:val="none"/>
        </w:rPr>
        <w:t>附件</w:t>
      </w:r>
      <w:r>
        <w:rPr>
          <w:rFonts w:hint="eastAsia" w:ascii="宋体" w:hAnsi="宋体" w:cs="Times New Roman"/>
          <w:color w:val="auto"/>
          <w:kern w:val="0"/>
          <w:sz w:val="30"/>
          <w:szCs w:val="20"/>
          <w:highlight w:val="none"/>
          <w:lang w:val="en-US" w:eastAsia="zh-CN"/>
        </w:rPr>
        <w:t>7</w:t>
      </w:r>
    </w:p>
    <w:p w14:paraId="1F828393">
      <w:pPr>
        <w:snapToGrid w:val="0"/>
        <w:spacing w:line="360" w:lineRule="auto"/>
        <w:jc w:val="center"/>
        <w:rPr>
          <w:rFonts w:ascii="宋体" w:hAnsi="宋体" w:eastAsia="宋体" w:cs="Times New Roman"/>
          <w:color w:val="auto"/>
          <w:kern w:val="0"/>
          <w:sz w:val="30"/>
          <w:szCs w:val="20"/>
          <w:highlight w:val="none"/>
        </w:rPr>
      </w:pPr>
      <w:r>
        <w:rPr>
          <w:rFonts w:hint="eastAsia" w:ascii="宋体" w:hAnsi="宋体" w:eastAsia="宋体" w:cs="Times New Roman"/>
          <w:color w:val="auto"/>
          <w:kern w:val="0"/>
          <w:sz w:val="30"/>
          <w:szCs w:val="20"/>
          <w:highlight w:val="none"/>
        </w:rPr>
        <w:t>主要人员简历表</w:t>
      </w:r>
    </w:p>
    <w:p w14:paraId="7CB5280E">
      <w:pPr>
        <w:snapToGrid w:val="0"/>
        <w:spacing w:line="360" w:lineRule="auto"/>
        <w:jc w:val="center"/>
        <w:rPr>
          <w:rFonts w:ascii="宋体" w:hAnsi="宋体" w:eastAsia="宋体" w:cs="Times New Roman"/>
          <w:color w:val="auto"/>
          <w:kern w:val="0"/>
          <w:sz w:val="28"/>
          <w:szCs w:val="20"/>
          <w:highlight w:val="none"/>
        </w:rPr>
      </w:pPr>
    </w:p>
    <w:tbl>
      <w:tblPr>
        <w:tblStyle w:val="26"/>
        <w:tblW w:w="0" w:type="auto"/>
        <w:tblInd w:w="0" w:type="dxa"/>
        <w:tblLayout w:type="fixed"/>
        <w:tblCellMar>
          <w:top w:w="0" w:type="dxa"/>
          <w:left w:w="0" w:type="dxa"/>
          <w:bottom w:w="0" w:type="dxa"/>
          <w:right w:w="0" w:type="dxa"/>
        </w:tblCellMar>
      </w:tblPr>
      <w:tblGrid>
        <w:gridCol w:w="1410"/>
        <w:gridCol w:w="864"/>
        <w:gridCol w:w="2761"/>
        <w:gridCol w:w="443"/>
        <w:gridCol w:w="1572"/>
        <w:gridCol w:w="603"/>
        <w:gridCol w:w="1861"/>
      </w:tblGrid>
      <w:tr w14:paraId="7F13B48D">
        <w:tblPrEx>
          <w:tblCellMar>
            <w:top w:w="0" w:type="dxa"/>
            <w:left w:w="0" w:type="dxa"/>
            <w:bottom w:w="0" w:type="dxa"/>
            <w:right w:w="0" w:type="dxa"/>
          </w:tblCellMar>
        </w:tblPrEx>
        <w:trPr>
          <w:trHeight w:val="691" w:hRule="exact"/>
        </w:trPr>
        <w:tc>
          <w:tcPr>
            <w:tcW w:w="2274" w:type="dxa"/>
            <w:gridSpan w:val="2"/>
            <w:tcBorders>
              <w:top w:val="double" w:color="000000" w:sz="4"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2246982C">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姓</w:t>
            </w:r>
            <w:r>
              <w:rPr>
                <w:rFonts w:ascii="宋体" w:hAnsi="宋体" w:eastAsia="宋体" w:cs="Times New Roman"/>
                <w:color w:val="auto"/>
                <w:kern w:val="0"/>
                <w:szCs w:val="20"/>
                <w:highlight w:val="none"/>
              </w:rPr>
              <w:t xml:space="preserve">   </w:t>
            </w:r>
            <w:r>
              <w:rPr>
                <w:rFonts w:hint="eastAsia" w:ascii="宋体" w:hAnsi="宋体" w:eastAsia="宋体" w:cs="Times New Roman"/>
                <w:color w:val="auto"/>
                <w:kern w:val="0"/>
                <w:szCs w:val="20"/>
                <w:highlight w:val="none"/>
              </w:rPr>
              <w:t>名</w:t>
            </w:r>
          </w:p>
        </w:tc>
        <w:tc>
          <w:tcPr>
            <w:tcW w:w="2761" w:type="dxa"/>
            <w:tcBorders>
              <w:top w:val="double" w:color="000000" w:sz="4"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21F51E74">
            <w:pPr>
              <w:snapToGrid w:val="0"/>
              <w:spacing w:line="360" w:lineRule="auto"/>
              <w:jc w:val="center"/>
              <w:rPr>
                <w:rFonts w:ascii="宋体" w:hAnsi="宋体" w:eastAsia="宋体" w:cs="Times New Roman"/>
                <w:color w:val="auto"/>
                <w:kern w:val="0"/>
                <w:szCs w:val="20"/>
                <w:highlight w:val="none"/>
              </w:rPr>
            </w:pPr>
          </w:p>
        </w:tc>
        <w:tc>
          <w:tcPr>
            <w:tcW w:w="2618" w:type="dxa"/>
            <w:gridSpan w:val="3"/>
            <w:tcBorders>
              <w:top w:val="double" w:color="000000" w:sz="4"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5BCDE316">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性</w:t>
            </w:r>
            <w:r>
              <w:rPr>
                <w:rFonts w:ascii="宋体" w:hAnsi="宋体" w:eastAsia="宋体" w:cs="Times New Roman"/>
                <w:color w:val="auto"/>
                <w:kern w:val="0"/>
                <w:szCs w:val="20"/>
                <w:highlight w:val="none"/>
              </w:rPr>
              <w:t xml:space="preserve">  </w:t>
            </w:r>
            <w:r>
              <w:rPr>
                <w:rFonts w:hint="eastAsia" w:ascii="宋体" w:hAnsi="宋体" w:eastAsia="宋体" w:cs="Times New Roman"/>
                <w:color w:val="auto"/>
                <w:kern w:val="0"/>
                <w:szCs w:val="20"/>
                <w:highlight w:val="none"/>
              </w:rPr>
              <w:t>别</w:t>
            </w:r>
          </w:p>
        </w:tc>
        <w:tc>
          <w:tcPr>
            <w:tcW w:w="1861" w:type="dxa"/>
            <w:tcBorders>
              <w:top w:val="double" w:color="000000" w:sz="4"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59906023">
            <w:pPr>
              <w:snapToGrid w:val="0"/>
              <w:spacing w:line="360" w:lineRule="auto"/>
              <w:jc w:val="center"/>
              <w:rPr>
                <w:rFonts w:ascii="宋体" w:hAnsi="宋体" w:eastAsia="宋体" w:cs="Times New Roman"/>
                <w:color w:val="auto"/>
                <w:kern w:val="0"/>
                <w:szCs w:val="20"/>
                <w:highlight w:val="none"/>
              </w:rPr>
            </w:pPr>
          </w:p>
        </w:tc>
      </w:tr>
      <w:tr w14:paraId="7EA5C259">
        <w:tblPrEx>
          <w:tblCellMar>
            <w:top w:w="0" w:type="dxa"/>
            <w:left w:w="0" w:type="dxa"/>
            <w:bottom w:w="0" w:type="dxa"/>
            <w:right w:w="0" w:type="dxa"/>
          </w:tblCellMar>
        </w:tblPrEx>
        <w:trPr>
          <w:trHeight w:val="613" w:hRule="exact"/>
        </w:trPr>
        <w:tc>
          <w:tcPr>
            <w:tcW w:w="2274" w:type="dxa"/>
            <w:gridSpan w:val="2"/>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16FEBB72">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职</w:t>
            </w:r>
            <w:r>
              <w:rPr>
                <w:rFonts w:ascii="宋体" w:hAnsi="宋体" w:eastAsia="宋体" w:cs="Times New Roman"/>
                <w:color w:val="auto"/>
                <w:kern w:val="0"/>
                <w:szCs w:val="20"/>
                <w:highlight w:val="none"/>
              </w:rPr>
              <w:t xml:space="preserve">   </w:t>
            </w:r>
            <w:r>
              <w:rPr>
                <w:rFonts w:hint="eastAsia" w:ascii="宋体" w:hAnsi="宋体" w:eastAsia="宋体" w:cs="Times New Roman"/>
                <w:color w:val="auto"/>
                <w:kern w:val="0"/>
                <w:szCs w:val="20"/>
                <w:highlight w:val="none"/>
              </w:rPr>
              <w:t>务</w:t>
            </w:r>
          </w:p>
        </w:tc>
        <w:tc>
          <w:tcPr>
            <w:tcW w:w="2761"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21DFC055">
            <w:pPr>
              <w:snapToGrid w:val="0"/>
              <w:spacing w:line="360" w:lineRule="auto"/>
              <w:jc w:val="center"/>
              <w:rPr>
                <w:rFonts w:ascii="宋体" w:hAnsi="宋体" w:eastAsia="宋体" w:cs="Times New Roman"/>
                <w:color w:val="auto"/>
                <w:kern w:val="0"/>
                <w:szCs w:val="20"/>
                <w:highlight w:val="none"/>
              </w:rPr>
            </w:pPr>
          </w:p>
        </w:tc>
        <w:tc>
          <w:tcPr>
            <w:tcW w:w="2618" w:type="dxa"/>
            <w:gridSpan w:val="3"/>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29C94707">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职</w:t>
            </w:r>
            <w:r>
              <w:rPr>
                <w:rFonts w:ascii="宋体" w:hAnsi="宋体" w:eastAsia="宋体" w:cs="Times New Roman"/>
                <w:color w:val="auto"/>
                <w:kern w:val="0"/>
                <w:szCs w:val="20"/>
                <w:highlight w:val="none"/>
              </w:rPr>
              <w:t xml:space="preserve">  </w:t>
            </w:r>
            <w:r>
              <w:rPr>
                <w:rFonts w:hint="eastAsia" w:ascii="宋体" w:hAnsi="宋体" w:eastAsia="宋体" w:cs="Times New Roman"/>
                <w:color w:val="auto"/>
                <w:kern w:val="0"/>
                <w:szCs w:val="20"/>
                <w:highlight w:val="none"/>
              </w:rPr>
              <w:t>称</w:t>
            </w:r>
          </w:p>
        </w:tc>
        <w:tc>
          <w:tcPr>
            <w:tcW w:w="1861" w:type="dxa"/>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1B8EEAE6">
            <w:pPr>
              <w:snapToGrid w:val="0"/>
              <w:spacing w:line="360" w:lineRule="auto"/>
              <w:jc w:val="center"/>
              <w:rPr>
                <w:rFonts w:ascii="宋体" w:hAnsi="宋体" w:eastAsia="宋体" w:cs="Times New Roman"/>
                <w:color w:val="auto"/>
                <w:kern w:val="0"/>
                <w:szCs w:val="20"/>
                <w:highlight w:val="none"/>
              </w:rPr>
            </w:pPr>
          </w:p>
        </w:tc>
      </w:tr>
      <w:tr w14:paraId="0F31215F">
        <w:tblPrEx>
          <w:tblCellMar>
            <w:top w:w="0" w:type="dxa"/>
            <w:left w:w="0" w:type="dxa"/>
            <w:bottom w:w="0" w:type="dxa"/>
            <w:right w:w="0" w:type="dxa"/>
          </w:tblCellMar>
        </w:tblPrEx>
        <w:trPr>
          <w:trHeight w:val="621" w:hRule="exact"/>
        </w:trPr>
        <w:tc>
          <w:tcPr>
            <w:tcW w:w="2274" w:type="dxa"/>
            <w:gridSpan w:val="2"/>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3C492F62">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毕业学校、专业</w:t>
            </w:r>
          </w:p>
        </w:tc>
        <w:tc>
          <w:tcPr>
            <w:tcW w:w="7240" w:type="dxa"/>
            <w:gridSpan w:val="5"/>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086E79A4">
            <w:pPr>
              <w:snapToGrid w:val="0"/>
              <w:spacing w:line="360" w:lineRule="auto"/>
              <w:jc w:val="center"/>
              <w:rPr>
                <w:rFonts w:ascii="宋体" w:hAnsi="宋体" w:eastAsia="宋体" w:cs="Times New Roman"/>
                <w:color w:val="auto"/>
                <w:kern w:val="0"/>
                <w:szCs w:val="20"/>
                <w:highlight w:val="none"/>
              </w:rPr>
            </w:pPr>
          </w:p>
        </w:tc>
      </w:tr>
      <w:tr w14:paraId="55B346FB">
        <w:tblPrEx>
          <w:tblCellMar>
            <w:top w:w="0" w:type="dxa"/>
            <w:left w:w="0" w:type="dxa"/>
            <w:bottom w:w="0" w:type="dxa"/>
            <w:right w:w="0" w:type="dxa"/>
          </w:tblCellMar>
        </w:tblPrEx>
        <w:trPr>
          <w:trHeight w:val="771" w:hRule="exact"/>
        </w:trPr>
        <w:tc>
          <w:tcPr>
            <w:tcW w:w="2274" w:type="dxa"/>
            <w:gridSpan w:val="2"/>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0BD7A092">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身份证号</w:t>
            </w:r>
          </w:p>
        </w:tc>
        <w:tc>
          <w:tcPr>
            <w:tcW w:w="2761"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563FEBD1">
            <w:pPr>
              <w:snapToGrid w:val="0"/>
              <w:spacing w:line="360" w:lineRule="auto"/>
              <w:jc w:val="center"/>
              <w:rPr>
                <w:rFonts w:ascii="宋体" w:hAnsi="宋体" w:eastAsia="宋体" w:cs="Times New Roman"/>
                <w:color w:val="auto"/>
                <w:kern w:val="0"/>
                <w:szCs w:val="20"/>
                <w:highlight w:val="none"/>
              </w:rPr>
            </w:pPr>
          </w:p>
        </w:tc>
        <w:tc>
          <w:tcPr>
            <w:tcW w:w="2618" w:type="dxa"/>
            <w:gridSpan w:val="3"/>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250EBA1F">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拟在本合同任职</w:t>
            </w:r>
          </w:p>
        </w:tc>
        <w:tc>
          <w:tcPr>
            <w:tcW w:w="1861" w:type="dxa"/>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78F55A39">
            <w:pPr>
              <w:snapToGrid w:val="0"/>
              <w:spacing w:line="360" w:lineRule="auto"/>
              <w:ind w:right="-105"/>
              <w:jc w:val="center"/>
              <w:rPr>
                <w:rFonts w:ascii="宋体" w:hAnsi="宋体" w:eastAsia="宋体" w:cs="Times New Roman"/>
                <w:color w:val="auto"/>
                <w:kern w:val="0"/>
                <w:szCs w:val="20"/>
                <w:highlight w:val="none"/>
              </w:rPr>
            </w:pPr>
          </w:p>
        </w:tc>
      </w:tr>
      <w:tr w14:paraId="7E0E8530">
        <w:tblPrEx>
          <w:tblCellMar>
            <w:top w:w="0" w:type="dxa"/>
            <w:left w:w="0" w:type="dxa"/>
            <w:bottom w:w="0" w:type="dxa"/>
            <w:right w:w="0" w:type="dxa"/>
          </w:tblCellMar>
        </w:tblPrEx>
        <w:trPr>
          <w:trHeight w:val="771" w:hRule="exact"/>
        </w:trPr>
        <w:tc>
          <w:tcPr>
            <w:tcW w:w="2274" w:type="dxa"/>
            <w:gridSpan w:val="2"/>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3A40C37B">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执业资格证</w:t>
            </w:r>
          </w:p>
        </w:tc>
        <w:tc>
          <w:tcPr>
            <w:tcW w:w="2761"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43F2EE60">
            <w:pPr>
              <w:snapToGrid w:val="0"/>
              <w:spacing w:line="360" w:lineRule="auto"/>
              <w:jc w:val="center"/>
              <w:rPr>
                <w:rFonts w:ascii="宋体" w:hAnsi="宋体" w:eastAsia="宋体" w:cs="Times New Roman"/>
                <w:color w:val="auto"/>
                <w:kern w:val="0"/>
                <w:szCs w:val="20"/>
                <w:highlight w:val="none"/>
              </w:rPr>
            </w:pPr>
          </w:p>
        </w:tc>
        <w:tc>
          <w:tcPr>
            <w:tcW w:w="2618" w:type="dxa"/>
            <w:gridSpan w:val="3"/>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5D5C5AD1">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执业资格证书号</w:t>
            </w:r>
          </w:p>
        </w:tc>
        <w:tc>
          <w:tcPr>
            <w:tcW w:w="1861" w:type="dxa"/>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19720D13">
            <w:pPr>
              <w:snapToGrid w:val="0"/>
              <w:spacing w:line="360" w:lineRule="auto"/>
              <w:rPr>
                <w:rFonts w:ascii="宋体" w:hAnsi="宋体" w:eastAsia="宋体" w:cs="Times New Roman"/>
                <w:color w:val="auto"/>
                <w:kern w:val="0"/>
                <w:szCs w:val="20"/>
                <w:highlight w:val="none"/>
              </w:rPr>
            </w:pPr>
          </w:p>
        </w:tc>
      </w:tr>
      <w:tr w14:paraId="4BE2752E">
        <w:tblPrEx>
          <w:tblCellMar>
            <w:top w:w="0" w:type="dxa"/>
            <w:left w:w="0" w:type="dxa"/>
            <w:bottom w:w="0" w:type="dxa"/>
            <w:right w:w="0" w:type="dxa"/>
          </w:tblCellMar>
        </w:tblPrEx>
        <w:trPr>
          <w:trHeight w:val="500" w:hRule="exact"/>
        </w:trPr>
        <w:tc>
          <w:tcPr>
            <w:tcW w:w="9514" w:type="dxa"/>
            <w:gridSpan w:val="7"/>
            <w:tcBorders>
              <w:top w:val="single" w:color="000000" w:sz="6" w:space="0"/>
              <w:left w:val="double" w:color="000000" w:sz="4" w:space="0"/>
              <w:bottom w:val="single" w:color="000000" w:sz="6" w:space="0"/>
              <w:right w:val="double" w:color="000000" w:sz="4" w:space="0"/>
            </w:tcBorders>
            <w:noWrap w:val="0"/>
            <w:tcMar>
              <w:top w:w="0" w:type="dxa"/>
              <w:left w:w="108" w:type="dxa"/>
              <w:bottom w:w="0" w:type="dxa"/>
              <w:right w:w="108" w:type="dxa"/>
            </w:tcMar>
            <w:vAlign w:val="center"/>
          </w:tcPr>
          <w:p w14:paraId="7D3230B2">
            <w:pPr>
              <w:snapToGrid w:val="0"/>
              <w:spacing w:line="360" w:lineRule="auto"/>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近三年承担项目情况</w:t>
            </w:r>
          </w:p>
        </w:tc>
      </w:tr>
      <w:tr w14:paraId="077E1344">
        <w:tblPrEx>
          <w:tblCellMar>
            <w:top w:w="0" w:type="dxa"/>
            <w:left w:w="0" w:type="dxa"/>
            <w:bottom w:w="0" w:type="dxa"/>
            <w:right w:w="0" w:type="dxa"/>
          </w:tblCellMar>
        </w:tblPrEx>
        <w:trPr>
          <w:trHeight w:val="500" w:hRule="exact"/>
        </w:trPr>
        <w:tc>
          <w:tcPr>
            <w:tcW w:w="1410" w:type="dxa"/>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0D75DE3A">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时间</w:t>
            </w:r>
          </w:p>
        </w:tc>
        <w:tc>
          <w:tcPr>
            <w:tcW w:w="4068" w:type="dxa"/>
            <w:gridSpan w:val="3"/>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1441DE41">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类似项目名称</w:t>
            </w:r>
          </w:p>
        </w:tc>
        <w:tc>
          <w:tcPr>
            <w:tcW w:w="157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47ABDE0C">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担任职务</w:t>
            </w:r>
          </w:p>
        </w:tc>
        <w:tc>
          <w:tcPr>
            <w:tcW w:w="2464" w:type="dxa"/>
            <w:gridSpan w:val="2"/>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6F4514E8">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项目单位名称及电话</w:t>
            </w:r>
          </w:p>
        </w:tc>
      </w:tr>
      <w:tr w14:paraId="37996F69">
        <w:tblPrEx>
          <w:tblCellMar>
            <w:top w:w="0" w:type="dxa"/>
            <w:left w:w="0" w:type="dxa"/>
            <w:bottom w:w="0" w:type="dxa"/>
            <w:right w:w="0" w:type="dxa"/>
          </w:tblCellMar>
        </w:tblPrEx>
        <w:trPr>
          <w:trHeight w:val="500" w:hRule="exact"/>
        </w:trPr>
        <w:tc>
          <w:tcPr>
            <w:tcW w:w="1410" w:type="dxa"/>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7A8E92E5">
            <w:pPr>
              <w:snapToGrid w:val="0"/>
              <w:spacing w:line="360" w:lineRule="auto"/>
              <w:jc w:val="center"/>
              <w:rPr>
                <w:rFonts w:ascii="宋体" w:hAnsi="宋体" w:eastAsia="宋体" w:cs="Times New Roman"/>
                <w:color w:val="auto"/>
                <w:kern w:val="0"/>
                <w:szCs w:val="20"/>
                <w:highlight w:val="none"/>
              </w:rPr>
            </w:pPr>
          </w:p>
        </w:tc>
        <w:tc>
          <w:tcPr>
            <w:tcW w:w="4068" w:type="dxa"/>
            <w:gridSpan w:val="3"/>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130070F5">
            <w:pPr>
              <w:snapToGrid w:val="0"/>
              <w:spacing w:line="360" w:lineRule="auto"/>
              <w:jc w:val="center"/>
              <w:rPr>
                <w:rFonts w:ascii="宋体" w:hAnsi="宋体" w:eastAsia="宋体" w:cs="Times New Roman"/>
                <w:color w:val="auto"/>
                <w:kern w:val="0"/>
                <w:szCs w:val="20"/>
                <w:highlight w:val="none"/>
              </w:rPr>
            </w:pPr>
          </w:p>
        </w:tc>
        <w:tc>
          <w:tcPr>
            <w:tcW w:w="157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257E2174">
            <w:pPr>
              <w:snapToGrid w:val="0"/>
              <w:spacing w:line="360" w:lineRule="auto"/>
              <w:jc w:val="center"/>
              <w:rPr>
                <w:rFonts w:ascii="宋体" w:hAnsi="宋体" w:eastAsia="宋体" w:cs="Times New Roman"/>
                <w:color w:val="auto"/>
                <w:kern w:val="0"/>
                <w:szCs w:val="20"/>
                <w:highlight w:val="none"/>
              </w:rPr>
            </w:pPr>
          </w:p>
        </w:tc>
        <w:tc>
          <w:tcPr>
            <w:tcW w:w="2464" w:type="dxa"/>
            <w:gridSpan w:val="2"/>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2F19D6D7">
            <w:pPr>
              <w:snapToGrid w:val="0"/>
              <w:spacing w:line="360" w:lineRule="auto"/>
              <w:jc w:val="center"/>
              <w:rPr>
                <w:rFonts w:ascii="宋体" w:hAnsi="宋体" w:eastAsia="宋体" w:cs="Times New Roman"/>
                <w:color w:val="auto"/>
                <w:kern w:val="0"/>
                <w:szCs w:val="20"/>
                <w:highlight w:val="none"/>
              </w:rPr>
            </w:pPr>
          </w:p>
        </w:tc>
      </w:tr>
      <w:tr w14:paraId="5937D69F">
        <w:tblPrEx>
          <w:tblCellMar>
            <w:top w:w="0" w:type="dxa"/>
            <w:left w:w="0" w:type="dxa"/>
            <w:bottom w:w="0" w:type="dxa"/>
            <w:right w:w="0" w:type="dxa"/>
          </w:tblCellMar>
        </w:tblPrEx>
        <w:trPr>
          <w:trHeight w:val="500" w:hRule="exact"/>
        </w:trPr>
        <w:tc>
          <w:tcPr>
            <w:tcW w:w="1410" w:type="dxa"/>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4FA35440">
            <w:pPr>
              <w:snapToGrid w:val="0"/>
              <w:spacing w:line="360" w:lineRule="auto"/>
              <w:jc w:val="center"/>
              <w:rPr>
                <w:rFonts w:ascii="宋体" w:hAnsi="宋体" w:eastAsia="宋体" w:cs="Times New Roman"/>
                <w:color w:val="auto"/>
                <w:kern w:val="0"/>
                <w:szCs w:val="20"/>
                <w:highlight w:val="none"/>
              </w:rPr>
            </w:pPr>
          </w:p>
        </w:tc>
        <w:tc>
          <w:tcPr>
            <w:tcW w:w="4068" w:type="dxa"/>
            <w:gridSpan w:val="3"/>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22DD62E3">
            <w:pPr>
              <w:snapToGrid w:val="0"/>
              <w:spacing w:line="360" w:lineRule="auto"/>
              <w:jc w:val="center"/>
              <w:rPr>
                <w:rFonts w:ascii="宋体" w:hAnsi="宋体" w:eastAsia="宋体" w:cs="Times New Roman"/>
                <w:color w:val="auto"/>
                <w:kern w:val="0"/>
                <w:szCs w:val="20"/>
                <w:highlight w:val="none"/>
              </w:rPr>
            </w:pPr>
          </w:p>
        </w:tc>
        <w:tc>
          <w:tcPr>
            <w:tcW w:w="157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31B8C3F6">
            <w:pPr>
              <w:snapToGrid w:val="0"/>
              <w:spacing w:line="360" w:lineRule="auto"/>
              <w:jc w:val="center"/>
              <w:rPr>
                <w:rFonts w:ascii="宋体" w:hAnsi="宋体" w:eastAsia="宋体" w:cs="Times New Roman"/>
                <w:color w:val="auto"/>
                <w:kern w:val="0"/>
                <w:szCs w:val="20"/>
                <w:highlight w:val="none"/>
              </w:rPr>
            </w:pPr>
          </w:p>
        </w:tc>
        <w:tc>
          <w:tcPr>
            <w:tcW w:w="2464" w:type="dxa"/>
            <w:gridSpan w:val="2"/>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1B52E851">
            <w:pPr>
              <w:snapToGrid w:val="0"/>
              <w:spacing w:line="360" w:lineRule="auto"/>
              <w:jc w:val="center"/>
              <w:rPr>
                <w:rFonts w:ascii="宋体" w:hAnsi="宋体" w:eastAsia="宋体" w:cs="Times New Roman"/>
                <w:color w:val="auto"/>
                <w:kern w:val="0"/>
                <w:szCs w:val="20"/>
                <w:highlight w:val="none"/>
              </w:rPr>
            </w:pPr>
          </w:p>
        </w:tc>
      </w:tr>
      <w:tr w14:paraId="66E69BAE">
        <w:tblPrEx>
          <w:tblCellMar>
            <w:top w:w="0" w:type="dxa"/>
            <w:left w:w="0" w:type="dxa"/>
            <w:bottom w:w="0" w:type="dxa"/>
            <w:right w:w="0" w:type="dxa"/>
          </w:tblCellMar>
        </w:tblPrEx>
        <w:trPr>
          <w:trHeight w:val="500" w:hRule="exact"/>
        </w:trPr>
        <w:tc>
          <w:tcPr>
            <w:tcW w:w="1410" w:type="dxa"/>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65ED0816">
            <w:pPr>
              <w:snapToGrid w:val="0"/>
              <w:spacing w:line="360" w:lineRule="auto"/>
              <w:jc w:val="center"/>
              <w:rPr>
                <w:rFonts w:ascii="宋体" w:hAnsi="宋体" w:eastAsia="宋体" w:cs="Times New Roman"/>
                <w:color w:val="auto"/>
                <w:kern w:val="0"/>
                <w:szCs w:val="20"/>
                <w:highlight w:val="none"/>
              </w:rPr>
            </w:pPr>
          </w:p>
        </w:tc>
        <w:tc>
          <w:tcPr>
            <w:tcW w:w="4068" w:type="dxa"/>
            <w:gridSpan w:val="3"/>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0398BB48">
            <w:pPr>
              <w:snapToGrid w:val="0"/>
              <w:spacing w:line="360" w:lineRule="auto"/>
              <w:jc w:val="center"/>
              <w:rPr>
                <w:rFonts w:ascii="宋体" w:hAnsi="宋体" w:eastAsia="宋体" w:cs="Times New Roman"/>
                <w:color w:val="auto"/>
                <w:kern w:val="0"/>
                <w:szCs w:val="20"/>
                <w:highlight w:val="none"/>
              </w:rPr>
            </w:pPr>
          </w:p>
        </w:tc>
        <w:tc>
          <w:tcPr>
            <w:tcW w:w="157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1EE9D7EF">
            <w:pPr>
              <w:snapToGrid w:val="0"/>
              <w:spacing w:line="360" w:lineRule="auto"/>
              <w:jc w:val="center"/>
              <w:rPr>
                <w:rFonts w:ascii="宋体" w:hAnsi="宋体" w:eastAsia="宋体" w:cs="Times New Roman"/>
                <w:color w:val="auto"/>
                <w:kern w:val="0"/>
                <w:szCs w:val="20"/>
                <w:highlight w:val="none"/>
              </w:rPr>
            </w:pPr>
          </w:p>
        </w:tc>
        <w:tc>
          <w:tcPr>
            <w:tcW w:w="2464" w:type="dxa"/>
            <w:gridSpan w:val="2"/>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768C201B">
            <w:pPr>
              <w:snapToGrid w:val="0"/>
              <w:spacing w:line="360" w:lineRule="auto"/>
              <w:jc w:val="center"/>
              <w:rPr>
                <w:rFonts w:ascii="宋体" w:hAnsi="宋体" w:eastAsia="宋体" w:cs="Times New Roman"/>
                <w:color w:val="auto"/>
                <w:kern w:val="0"/>
                <w:szCs w:val="20"/>
                <w:highlight w:val="none"/>
              </w:rPr>
            </w:pPr>
          </w:p>
        </w:tc>
      </w:tr>
      <w:tr w14:paraId="43486B14">
        <w:tblPrEx>
          <w:tblCellMar>
            <w:top w:w="0" w:type="dxa"/>
            <w:left w:w="0" w:type="dxa"/>
            <w:bottom w:w="0" w:type="dxa"/>
            <w:right w:w="0" w:type="dxa"/>
          </w:tblCellMar>
        </w:tblPrEx>
        <w:trPr>
          <w:trHeight w:val="500" w:hRule="exact"/>
        </w:trPr>
        <w:tc>
          <w:tcPr>
            <w:tcW w:w="1410" w:type="dxa"/>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48369CA3">
            <w:pPr>
              <w:snapToGrid w:val="0"/>
              <w:spacing w:line="360" w:lineRule="auto"/>
              <w:jc w:val="center"/>
              <w:rPr>
                <w:rFonts w:ascii="宋体" w:hAnsi="宋体" w:eastAsia="宋体" w:cs="Times New Roman"/>
                <w:color w:val="auto"/>
                <w:kern w:val="0"/>
                <w:szCs w:val="20"/>
                <w:highlight w:val="none"/>
              </w:rPr>
            </w:pPr>
          </w:p>
        </w:tc>
        <w:tc>
          <w:tcPr>
            <w:tcW w:w="4068" w:type="dxa"/>
            <w:gridSpan w:val="3"/>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19640E98">
            <w:pPr>
              <w:snapToGrid w:val="0"/>
              <w:spacing w:line="360" w:lineRule="auto"/>
              <w:jc w:val="center"/>
              <w:rPr>
                <w:rFonts w:ascii="宋体" w:hAnsi="宋体" w:eastAsia="宋体" w:cs="Times New Roman"/>
                <w:color w:val="auto"/>
                <w:kern w:val="0"/>
                <w:szCs w:val="20"/>
                <w:highlight w:val="none"/>
              </w:rPr>
            </w:pPr>
          </w:p>
        </w:tc>
        <w:tc>
          <w:tcPr>
            <w:tcW w:w="157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75FC6CE8">
            <w:pPr>
              <w:snapToGrid w:val="0"/>
              <w:spacing w:line="360" w:lineRule="auto"/>
              <w:jc w:val="center"/>
              <w:rPr>
                <w:rFonts w:ascii="宋体" w:hAnsi="宋体" w:eastAsia="宋体" w:cs="Times New Roman"/>
                <w:color w:val="auto"/>
                <w:kern w:val="0"/>
                <w:szCs w:val="20"/>
                <w:highlight w:val="none"/>
              </w:rPr>
            </w:pPr>
          </w:p>
        </w:tc>
        <w:tc>
          <w:tcPr>
            <w:tcW w:w="2464" w:type="dxa"/>
            <w:gridSpan w:val="2"/>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63CE117D">
            <w:pPr>
              <w:snapToGrid w:val="0"/>
              <w:spacing w:line="360" w:lineRule="auto"/>
              <w:jc w:val="center"/>
              <w:rPr>
                <w:rFonts w:ascii="宋体" w:hAnsi="宋体" w:eastAsia="宋体" w:cs="Times New Roman"/>
                <w:color w:val="auto"/>
                <w:kern w:val="0"/>
                <w:szCs w:val="20"/>
                <w:highlight w:val="none"/>
              </w:rPr>
            </w:pPr>
          </w:p>
        </w:tc>
      </w:tr>
      <w:tr w14:paraId="7B527BA5">
        <w:tblPrEx>
          <w:tblCellMar>
            <w:top w:w="0" w:type="dxa"/>
            <w:left w:w="0" w:type="dxa"/>
            <w:bottom w:w="0" w:type="dxa"/>
            <w:right w:w="0" w:type="dxa"/>
          </w:tblCellMar>
        </w:tblPrEx>
        <w:trPr>
          <w:trHeight w:val="500" w:hRule="exact"/>
        </w:trPr>
        <w:tc>
          <w:tcPr>
            <w:tcW w:w="1410" w:type="dxa"/>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1DAF34E0">
            <w:pPr>
              <w:snapToGrid w:val="0"/>
              <w:spacing w:line="360" w:lineRule="auto"/>
              <w:jc w:val="center"/>
              <w:rPr>
                <w:rFonts w:ascii="宋体" w:hAnsi="宋体" w:eastAsia="宋体" w:cs="Times New Roman"/>
                <w:color w:val="auto"/>
                <w:kern w:val="0"/>
                <w:szCs w:val="20"/>
                <w:highlight w:val="none"/>
              </w:rPr>
            </w:pPr>
          </w:p>
        </w:tc>
        <w:tc>
          <w:tcPr>
            <w:tcW w:w="4068" w:type="dxa"/>
            <w:gridSpan w:val="3"/>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7A5F7FEE">
            <w:pPr>
              <w:snapToGrid w:val="0"/>
              <w:spacing w:line="360" w:lineRule="auto"/>
              <w:jc w:val="center"/>
              <w:rPr>
                <w:rFonts w:ascii="宋体" w:hAnsi="宋体" w:eastAsia="宋体" w:cs="Times New Roman"/>
                <w:color w:val="auto"/>
                <w:kern w:val="0"/>
                <w:szCs w:val="20"/>
                <w:highlight w:val="none"/>
              </w:rPr>
            </w:pPr>
          </w:p>
        </w:tc>
        <w:tc>
          <w:tcPr>
            <w:tcW w:w="157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54DB3682">
            <w:pPr>
              <w:snapToGrid w:val="0"/>
              <w:spacing w:line="360" w:lineRule="auto"/>
              <w:jc w:val="center"/>
              <w:rPr>
                <w:rFonts w:ascii="宋体" w:hAnsi="宋体" w:eastAsia="宋体" w:cs="Times New Roman"/>
                <w:color w:val="auto"/>
                <w:kern w:val="0"/>
                <w:szCs w:val="20"/>
                <w:highlight w:val="none"/>
              </w:rPr>
            </w:pPr>
          </w:p>
        </w:tc>
        <w:tc>
          <w:tcPr>
            <w:tcW w:w="2464" w:type="dxa"/>
            <w:gridSpan w:val="2"/>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0A812289">
            <w:pPr>
              <w:snapToGrid w:val="0"/>
              <w:spacing w:line="360" w:lineRule="auto"/>
              <w:jc w:val="center"/>
              <w:rPr>
                <w:rFonts w:ascii="宋体" w:hAnsi="宋体" w:eastAsia="宋体" w:cs="Times New Roman"/>
                <w:color w:val="auto"/>
                <w:kern w:val="0"/>
                <w:szCs w:val="20"/>
                <w:highlight w:val="none"/>
              </w:rPr>
            </w:pPr>
          </w:p>
        </w:tc>
      </w:tr>
      <w:tr w14:paraId="0B9FE5A2">
        <w:tblPrEx>
          <w:tblCellMar>
            <w:top w:w="0" w:type="dxa"/>
            <w:left w:w="0" w:type="dxa"/>
            <w:bottom w:w="0" w:type="dxa"/>
            <w:right w:w="0" w:type="dxa"/>
          </w:tblCellMar>
        </w:tblPrEx>
        <w:trPr>
          <w:trHeight w:val="500" w:hRule="exact"/>
        </w:trPr>
        <w:tc>
          <w:tcPr>
            <w:tcW w:w="1410" w:type="dxa"/>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204C9C03">
            <w:pPr>
              <w:snapToGrid w:val="0"/>
              <w:spacing w:line="360" w:lineRule="auto"/>
              <w:jc w:val="center"/>
              <w:rPr>
                <w:rFonts w:ascii="宋体" w:hAnsi="宋体" w:eastAsia="宋体" w:cs="Times New Roman"/>
                <w:color w:val="auto"/>
                <w:kern w:val="0"/>
                <w:szCs w:val="20"/>
                <w:highlight w:val="none"/>
              </w:rPr>
            </w:pPr>
          </w:p>
        </w:tc>
        <w:tc>
          <w:tcPr>
            <w:tcW w:w="4068" w:type="dxa"/>
            <w:gridSpan w:val="3"/>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0E0CF2EC">
            <w:pPr>
              <w:snapToGrid w:val="0"/>
              <w:spacing w:line="360" w:lineRule="auto"/>
              <w:jc w:val="center"/>
              <w:rPr>
                <w:rFonts w:ascii="宋体" w:hAnsi="宋体" w:eastAsia="宋体" w:cs="Times New Roman"/>
                <w:color w:val="auto"/>
                <w:kern w:val="0"/>
                <w:szCs w:val="20"/>
                <w:highlight w:val="none"/>
              </w:rPr>
            </w:pPr>
          </w:p>
        </w:tc>
        <w:tc>
          <w:tcPr>
            <w:tcW w:w="157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5D021EC6">
            <w:pPr>
              <w:snapToGrid w:val="0"/>
              <w:spacing w:line="360" w:lineRule="auto"/>
              <w:jc w:val="center"/>
              <w:rPr>
                <w:rFonts w:ascii="宋体" w:hAnsi="宋体" w:eastAsia="宋体" w:cs="Times New Roman"/>
                <w:color w:val="auto"/>
                <w:kern w:val="0"/>
                <w:szCs w:val="20"/>
                <w:highlight w:val="none"/>
              </w:rPr>
            </w:pPr>
          </w:p>
        </w:tc>
        <w:tc>
          <w:tcPr>
            <w:tcW w:w="2464" w:type="dxa"/>
            <w:gridSpan w:val="2"/>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2DF3DE60">
            <w:pPr>
              <w:snapToGrid w:val="0"/>
              <w:spacing w:line="360" w:lineRule="auto"/>
              <w:jc w:val="center"/>
              <w:rPr>
                <w:rFonts w:ascii="宋体" w:hAnsi="宋体" w:eastAsia="宋体" w:cs="Times New Roman"/>
                <w:color w:val="auto"/>
                <w:kern w:val="0"/>
                <w:szCs w:val="20"/>
                <w:highlight w:val="none"/>
              </w:rPr>
            </w:pPr>
          </w:p>
        </w:tc>
      </w:tr>
      <w:tr w14:paraId="5C497F8C">
        <w:tblPrEx>
          <w:tblCellMar>
            <w:top w:w="0" w:type="dxa"/>
            <w:left w:w="0" w:type="dxa"/>
            <w:bottom w:w="0" w:type="dxa"/>
            <w:right w:w="0" w:type="dxa"/>
          </w:tblCellMar>
        </w:tblPrEx>
        <w:trPr>
          <w:trHeight w:val="500" w:hRule="exact"/>
        </w:trPr>
        <w:tc>
          <w:tcPr>
            <w:tcW w:w="1410" w:type="dxa"/>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6326A6D8">
            <w:pPr>
              <w:snapToGrid w:val="0"/>
              <w:spacing w:line="360" w:lineRule="auto"/>
              <w:jc w:val="center"/>
              <w:rPr>
                <w:rFonts w:ascii="宋体" w:hAnsi="宋体" w:eastAsia="宋体" w:cs="Times New Roman"/>
                <w:color w:val="auto"/>
                <w:kern w:val="0"/>
                <w:szCs w:val="20"/>
                <w:highlight w:val="none"/>
              </w:rPr>
            </w:pPr>
          </w:p>
        </w:tc>
        <w:tc>
          <w:tcPr>
            <w:tcW w:w="4068" w:type="dxa"/>
            <w:gridSpan w:val="3"/>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1FFDD0E6">
            <w:pPr>
              <w:snapToGrid w:val="0"/>
              <w:spacing w:line="360" w:lineRule="auto"/>
              <w:jc w:val="center"/>
              <w:rPr>
                <w:rFonts w:ascii="宋体" w:hAnsi="宋体" w:eastAsia="宋体" w:cs="Times New Roman"/>
                <w:color w:val="auto"/>
                <w:kern w:val="0"/>
                <w:szCs w:val="20"/>
                <w:highlight w:val="none"/>
              </w:rPr>
            </w:pPr>
          </w:p>
        </w:tc>
        <w:tc>
          <w:tcPr>
            <w:tcW w:w="157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27C4BA89">
            <w:pPr>
              <w:snapToGrid w:val="0"/>
              <w:spacing w:line="360" w:lineRule="auto"/>
              <w:jc w:val="center"/>
              <w:rPr>
                <w:rFonts w:ascii="宋体" w:hAnsi="宋体" w:eastAsia="宋体" w:cs="Times New Roman"/>
                <w:color w:val="auto"/>
                <w:kern w:val="0"/>
                <w:szCs w:val="20"/>
                <w:highlight w:val="none"/>
              </w:rPr>
            </w:pPr>
          </w:p>
        </w:tc>
        <w:tc>
          <w:tcPr>
            <w:tcW w:w="2464" w:type="dxa"/>
            <w:gridSpan w:val="2"/>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2F124D93">
            <w:pPr>
              <w:snapToGrid w:val="0"/>
              <w:spacing w:line="360" w:lineRule="auto"/>
              <w:jc w:val="center"/>
              <w:rPr>
                <w:rFonts w:ascii="宋体" w:hAnsi="宋体" w:eastAsia="宋体" w:cs="Times New Roman"/>
                <w:color w:val="auto"/>
                <w:kern w:val="0"/>
                <w:szCs w:val="20"/>
                <w:highlight w:val="none"/>
              </w:rPr>
            </w:pPr>
          </w:p>
        </w:tc>
      </w:tr>
      <w:tr w14:paraId="7F775849">
        <w:tblPrEx>
          <w:tblCellMar>
            <w:top w:w="0" w:type="dxa"/>
            <w:left w:w="0" w:type="dxa"/>
            <w:bottom w:w="0" w:type="dxa"/>
            <w:right w:w="0" w:type="dxa"/>
          </w:tblCellMar>
        </w:tblPrEx>
        <w:trPr>
          <w:trHeight w:val="500" w:hRule="exact"/>
        </w:trPr>
        <w:tc>
          <w:tcPr>
            <w:tcW w:w="1410" w:type="dxa"/>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403CD4A5">
            <w:pPr>
              <w:snapToGrid w:val="0"/>
              <w:spacing w:line="360" w:lineRule="auto"/>
              <w:jc w:val="center"/>
              <w:rPr>
                <w:rFonts w:ascii="宋体" w:hAnsi="宋体" w:eastAsia="宋体" w:cs="Times New Roman"/>
                <w:color w:val="auto"/>
                <w:kern w:val="0"/>
                <w:szCs w:val="20"/>
                <w:highlight w:val="none"/>
              </w:rPr>
            </w:pPr>
          </w:p>
        </w:tc>
        <w:tc>
          <w:tcPr>
            <w:tcW w:w="4068" w:type="dxa"/>
            <w:gridSpan w:val="3"/>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49B07DBE">
            <w:pPr>
              <w:snapToGrid w:val="0"/>
              <w:spacing w:line="360" w:lineRule="auto"/>
              <w:jc w:val="center"/>
              <w:rPr>
                <w:rFonts w:ascii="宋体" w:hAnsi="宋体" w:eastAsia="宋体" w:cs="Times New Roman"/>
                <w:color w:val="auto"/>
                <w:kern w:val="0"/>
                <w:szCs w:val="20"/>
                <w:highlight w:val="none"/>
              </w:rPr>
            </w:pPr>
          </w:p>
        </w:tc>
        <w:tc>
          <w:tcPr>
            <w:tcW w:w="157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09657654">
            <w:pPr>
              <w:snapToGrid w:val="0"/>
              <w:spacing w:line="360" w:lineRule="auto"/>
              <w:jc w:val="center"/>
              <w:rPr>
                <w:rFonts w:ascii="宋体" w:hAnsi="宋体" w:eastAsia="宋体" w:cs="Times New Roman"/>
                <w:color w:val="auto"/>
                <w:kern w:val="0"/>
                <w:szCs w:val="20"/>
                <w:highlight w:val="none"/>
              </w:rPr>
            </w:pPr>
          </w:p>
        </w:tc>
        <w:tc>
          <w:tcPr>
            <w:tcW w:w="2464" w:type="dxa"/>
            <w:gridSpan w:val="2"/>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4A7466FB">
            <w:pPr>
              <w:snapToGrid w:val="0"/>
              <w:spacing w:line="360" w:lineRule="auto"/>
              <w:jc w:val="center"/>
              <w:rPr>
                <w:rFonts w:ascii="宋体" w:hAnsi="宋体" w:eastAsia="宋体" w:cs="Times New Roman"/>
                <w:color w:val="auto"/>
                <w:kern w:val="0"/>
                <w:szCs w:val="20"/>
                <w:highlight w:val="none"/>
              </w:rPr>
            </w:pPr>
          </w:p>
        </w:tc>
      </w:tr>
      <w:tr w14:paraId="3486B3F1">
        <w:tblPrEx>
          <w:tblCellMar>
            <w:top w:w="0" w:type="dxa"/>
            <w:left w:w="0" w:type="dxa"/>
            <w:bottom w:w="0" w:type="dxa"/>
            <w:right w:w="0" w:type="dxa"/>
          </w:tblCellMar>
        </w:tblPrEx>
        <w:trPr>
          <w:trHeight w:val="500" w:hRule="exact"/>
        </w:trPr>
        <w:tc>
          <w:tcPr>
            <w:tcW w:w="1410" w:type="dxa"/>
            <w:tcBorders>
              <w:top w:val="single" w:color="000000" w:sz="6" w:space="0"/>
              <w:left w:val="double" w:color="000000" w:sz="4" w:space="0"/>
              <w:bottom w:val="double" w:color="000000" w:sz="4" w:space="0"/>
              <w:right w:val="single" w:color="000000" w:sz="6" w:space="0"/>
            </w:tcBorders>
            <w:noWrap w:val="0"/>
            <w:tcMar>
              <w:top w:w="0" w:type="dxa"/>
              <w:left w:w="108" w:type="dxa"/>
              <w:bottom w:w="0" w:type="dxa"/>
              <w:right w:w="108" w:type="dxa"/>
            </w:tcMar>
            <w:vAlign w:val="center"/>
          </w:tcPr>
          <w:p w14:paraId="6AB69190">
            <w:pPr>
              <w:snapToGrid w:val="0"/>
              <w:spacing w:line="360" w:lineRule="auto"/>
              <w:jc w:val="center"/>
              <w:rPr>
                <w:rFonts w:ascii="宋体" w:hAnsi="宋体" w:eastAsia="宋体" w:cs="Times New Roman"/>
                <w:color w:val="auto"/>
                <w:kern w:val="0"/>
                <w:szCs w:val="20"/>
                <w:highlight w:val="none"/>
              </w:rPr>
            </w:pPr>
          </w:p>
        </w:tc>
        <w:tc>
          <w:tcPr>
            <w:tcW w:w="4068" w:type="dxa"/>
            <w:gridSpan w:val="3"/>
            <w:tcBorders>
              <w:top w:val="single" w:color="000000" w:sz="6" w:space="0"/>
              <w:left w:val="single" w:color="000000" w:sz="6" w:space="0"/>
              <w:bottom w:val="double" w:color="000000" w:sz="4" w:space="0"/>
              <w:right w:val="single" w:color="000000" w:sz="6" w:space="0"/>
            </w:tcBorders>
            <w:noWrap w:val="0"/>
            <w:tcMar>
              <w:top w:w="0" w:type="dxa"/>
              <w:left w:w="108" w:type="dxa"/>
              <w:bottom w:w="0" w:type="dxa"/>
              <w:right w:w="108" w:type="dxa"/>
            </w:tcMar>
            <w:vAlign w:val="center"/>
          </w:tcPr>
          <w:p w14:paraId="3B7FA7DF">
            <w:pPr>
              <w:snapToGrid w:val="0"/>
              <w:spacing w:line="360" w:lineRule="auto"/>
              <w:jc w:val="center"/>
              <w:rPr>
                <w:rFonts w:ascii="宋体" w:hAnsi="宋体" w:eastAsia="宋体" w:cs="Times New Roman"/>
                <w:color w:val="auto"/>
                <w:kern w:val="0"/>
                <w:szCs w:val="20"/>
                <w:highlight w:val="none"/>
              </w:rPr>
            </w:pPr>
          </w:p>
        </w:tc>
        <w:tc>
          <w:tcPr>
            <w:tcW w:w="1572" w:type="dxa"/>
            <w:tcBorders>
              <w:top w:val="single" w:color="000000" w:sz="6" w:space="0"/>
              <w:left w:val="single" w:color="000000" w:sz="6" w:space="0"/>
              <w:bottom w:val="double" w:color="000000" w:sz="4" w:space="0"/>
              <w:right w:val="single" w:color="000000" w:sz="6" w:space="0"/>
            </w:tcBorders>
            <w:noWrap w:val="0"/>
            <w:tcMar>
              <w:top w:w="0" w:type="dxa"/>
              <w:left w:w="108" w:type="dxa"/>
              <w:bottom w:w="0" w:type="dxa"/>
              <w:right w:w="108" w:type="dxa"/>
            </w:tcMar>
            <w:vAlign w:val="center"/>
          </w:tcPr>
          <w:p w14:paraId="09F68D22">
            <w:pPr>
              <w:snapToGrid w:val="0"/>
              <w:spacing w:line="360" w:lineRule="auto"/>
              <w:jc w:val="center"/>
              <w:rPr>
                <w:rFonts w:ascii="宋体" w:hAnsi="宋体" w:eastAsia="宋体" w:cs="Times New Roman"/>
                <w:color w:val="auto"/>
                <w:kern w:val="0"/>
                <w:szCs w:val="20"/>
                <w:highlight w:val="none"/>
              </w:rPr>
            </w:pPr>
          </w:p>
        </w:tc>
        <w:tc>
          <w:tcPr>
            <w:tcW w:w="2464" w:type="dxa"/>
            <w:gridSpan w:val="2"/>
            <w:tcBorders>
              <w:top w:val="single" w:color="000000" w:sz="6" w:space="0"/>
              <w:left w:val="single" w:color="000000" w:sz="6" w:space="0"/>
              <w:bottom w:val="double" w:color="000000" w:sz="4" w:space="0"/>
              <w:right w:val="double" w:color="000000" w:sz="4" w:space="0"/>
            </w:tcBorders>
            <w:noWrap w:val="0"/>
            <w:tcMar>
              <w:top w:w="0" w:type="dxa"/>
              <w:left w:w="108" w:type="dxa"/>
              <w:bottom w:w="0" w:type="dxa"/>
              <w:right w:w="108" w:type="dxa"/>
            </w:tcMar>
            <w:vAlign w:val="center"/>
          </w:tcPr>
          <w:p w14:paraId="2FD81A56">
            <w:pPr>
              <w:snapToGrid w:val="0"/>
              <w:spacing w:line="360" w:lineRule="auto"/>
              <w:jc w:val="center"/>
              <w:rPr>
                <w:rFonts w:ascii="宋体" w:hAnsi="宋体" w:eastAsia="宋体" w:cs="Times New Roman"/>
                <w:color w:val="auto"/>
                <w:kern w:val="0"/>
                <w:szCs w:val="20"/>
                <w:highlight w:val="none"/>
              </w:rPr>
            </w:pPr>
          </w:p>
        </w:tc>
      </w:tr>
    </w:tbl>
    <w:p w14:paraId="33E09619">
      <w:pPr>
        <w:snapToGrid w:val="0"/>
        <w:spacing w:line="360" w:lineRule="auto"/>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说明：主要人员证书、类似项目证明资料等按第二章第42.1款或第四章要求提供。</w:t>
      </w:r>
    </w:p>
    <w:p w14:paraId="6708773D">
      <w:pPr>
        <w:snapToGrid w:val="0"/>
        <w:spacing w:line="360" w:lineRule="auto"/>
        <w:rPr>
          <w:rFonts w:ascii="宋体" w:hAnsi="宋体" w:eastAsia="宋体" w:cs="Times New Roman"/>
          <w:color w:val="auto"/>
          <w:kern w:val="0"/>
          <w:szCs w:val="20"/>
          <w:highlight w:val="none"/>
        </w:rPr>
      </w:pPr>
    </w:p>
    <w:p w14:paraId="4F2BED25">
      <w:pPr>
        <w:snapToGrid w:val="0"/>
        <w:spacing w:line="360" w:lineRule="auto"/>
        <w:rPr>
          <w:rFonts w:ascii="宋体" w:hAnsi="宋体" w:eastAsia="宋体" w:cs="Times New Roman"/>
          <w:color w:val="auto"/>
          <w:kern w:val="0"/>
          <w:szCs w:val="20"/>
          <w:highlight w:val="none"/>
        </w:rPr>
      </w:pPr>
    </w:p>
    <w:p w14:paraId="70BF5914">
      <w:pPr>
        <w:snapToGrid w:val="0"/>
        <w:spacing w:line="360" w:lineRule="atLeast"/>
        <w:rPr>
          <w:rFonts w:ascii="宋体" w:hAnsi="宋体" w:eastAsia="宋体" w:cs="Times New Roman"/>
          <w:color w:val="auto"/>
          <w:kern w:val="0"/>
          <w:szCs w:val="20"/>
          <w:highlight w:val="none"/>
          <w:u w:val="single"/>
        </w:rPr>
      </w:pPr>
      <w:r>
        <w:rPr>
          <w:rFonts w:ascii="宋体" w:hAnsi="宋体" w:eastAsia="宋体" w:cs="Times New Roman"/>
          <w:color w:val="auto"/>
          <w:kern w:val="0"/>
          <w:szCs w:val="20"/>
          <w:highlight w:val="none"/>
        </w:rPr>
        <w:t>供应商名称(盖单位章)：</w:t>
      </w:r>
      <w:r>
        <w:rPr>
          <w:rFonts w:ascii="宋体" w:hAnsi="宋体" w:eastAsia="宋体" w:cs="Times New Roman"/>
          <w:color w:val="auto"/>
          <w:kern w:val="0"/>
          <w:szCs w:val="20"/>
          <w:highlight w:val="none"/>
          <w:u w:val="single"/>
        </w:rPr>
        <w:t xml:space="preserve">                </w:t>
      </w:r>
    </w:p>
    <w:p w14:paraId="10066A3B">
      <w:pPr>
        <w:snapToGrid w:val="0"/>
        <w:spacing w:line="360" w:lineRule="atLeast"/>
        <w:rPr>
          <w:rFonts w:hint="eastAsia"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法定代表人或其委托代理人(签字)：</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_</w:t>
      </w:r>
    </w:p>
    <w:p w14:paraId="567A655A">
      <w:pPr>
        <w:snapToGrid w:val="0"/>
        <w:spacing w:line="360" w:lineRule="atLeas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 xml:space="preserve">日期： </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 xml:space="preserve"> 年 </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 xml:space="preserve"> 月 </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 xml:space="preserve"> 日</w:t>
      </w:r>
    </w:p>
    <w:p w14:paraId="0A1A93C5">
      <w:pPr>
        <w:snapToGrid w:val="0"/>
        <w:spacing w:line="360" w:lineRule="auto"/>
        <w:rPr>
          <w:rFonts w:ascii="宋体" w:hAnsi="宋体" w:eastAsia="宋体" w:cs="Times New Roman"/>
          <w:color w:val="auto"/>
          <w:kern w:val="0"/>
          <w:szCs w:val="20"/>
          <w:highlight w:val="none"/>
        </w:rPr>
      </w:pPr>
    </w:p>
    <w:p w14:paraId="535DB4E0">
      <w:pPr>
        <w:snapToGrid w:val="0"/>
        <w:spacing w:line="360" w:lineRule="auto"/>
        <w:rPr>
          <w:rFonts w:ascii="宋体" w:hAnsi="宋体" w:eastAsia="宋体" w:cs="Times New Roman"/>
          <w:b/>
          <w:color w:val="auto"/>
          <w:kern w:val="0"/>
          <w:sz w:val="30"/>
          <w:szCs w:val="20"/>
          <w:highlight w:val="none"/>
        </w:rPr>
      </w:pPr>
    </w:p>
    <w:p w14:paraId="018F1DFF">
      <w:pPr>
        <w:snapToGrid w:val="0"/>
        <w:spacing w:line="360" w:lineRule="auto"/>
        <w:jc w:val="center"/>
        <w:rPr>
          <w:rFonts w:ascii="宋体" w:hAnsi="宋体" w:eastAsia="宋体" w:cs="Times New Roman"/>
          <w:b/>
          <w:color w:val="auto"/>
          <w:kern w:val="0"/>
          <w:sz w:val="30"/>
          <w:szCs w:val="20"/>
          <w:highlight w:val="none"/>
        </w:rPr>
      </w:pPr>
      <w:r>
        <w:rPr>
          <w:rFonts w:hint="eastAsia" w:ascii="宋体" w:hAnsi="宋体" w:eastAsia="宋体" w:cs="Times New Roman"/>
          <w:b/>
          <w:color w:val="auto"/>
          <w:kern w:val="0"/>
          <w:sz w:val="30"/>
          <w:szCs w:val="20"/>
          <w:highlight w:val="none"/>
        </w:rPr>
        <w:t>五、技术/商务响应与偏离表</w:t>
      </w:r>
    </w:p>
    <w:p w14:paraId="34693724">
      <w:pPr>
        <w:snapToGrid w:val="0"/>
        <w:spacing w:line="360" w:lineRule="auto"/>
        <w:ind w:left="-88" w:firstLine="315"/>
        <w:rPr>
          <w:rFonts w:ascii="宋体" w:hAnsi="宋体" w:eastAsia="宋体" w:cs="Times New Roman"/>
          <w:color w:val="auto"/>
          <w:kern w:val="0"/>
          <w:szCs w:val="20"/>
          <w:highlight w:val="none"/>
          <w:u w:val="single"/>
        </w:rPr>
      </w:pPr>
    </w:p>
    <w:tbl>
      <w:tblPr>
        <w:tblStyle w:val="26"/>
        <w:tblW w:w="0" w:type="auto"/>
        <w:jc w:val="center"/>
        <w:tblLayout w:type="fixed"/>
        <w:tblCellMar>
          <w:top w:w="0" w:type="dxa"/>
          <w:left w:w="0" w:type="dxa"/>
          <w:bottom w:w="0" w:type="dxa"/>
          <w:right w:w="0" w:type="dxa"/>
        </w:tblCellMar>
      </w:tblPr>
      <w:tblGrid>
        <w:gridCol w:w="680"/>
        <w:gridCol w:w="1803"/>
        <w:gridCol w:w="2084"/>
        <w:gridCol w:w="2782"/>
        <w:gridCol w:w="1298"/>
        <w:gridCol w:w="707"/>
      </w:tblGrid>
      <w:tr w14:paraId="36E07BBA">
        <w:tblPrEx>
          <w:tblCellMar>
            <w:top w:w="0" w:type="dxa"/>
            <w:left w:w="0" w:type="dxa"/>
            <w:bottom w:w="0" w:type="dxa"/>
            <w:right w:w="0" w:type="dxa"/>
          </w:tblCellMar>
        </w:tblPrEx>
        <w:trPr>
          <w:trHeight w:val="504" w:hRule="atLeast"/>
          <w:jc w:val="center"/>
        </w:trPr>
        <w:tc>
          <w:tcPr>
            <w:tcW w:w="680" w:type="dxa"/>
            <w:tcBorders>
              <w:top w:val="double" w:color="000000" w:sz="4" w:space="0"/>
              <w:left w:val="double" w:color="000000" w:sz="4" w:space="0"/>
              <w:bottom w:val="single" w:color="000000" w:sz="6" w:space="0"/>
              <w:right w:val="single" w:color="000000" w:sz="6" w:space="0"/>
            </w:tcBorders>
            <w:noWrap w:val="0"/>
            <w:tcMar>
              <w:top w:w="0" w:type="dxa"/>
              <w:left w:w="28" w:type="dxa"/>
              <w:bottom w:w="0" w:type="dxa"/>
              <w:right w:w="28" w:type="dxa"/>
            </w:tcMar>
            <w:vAlign w:val="center"/>
          </w:tcPr>
          <w:p w14:paraId="16670E0C">
            <w:pPr>
              <w:snapToGrid w:val="0"/>
              <w:spacing w:line="360" w:lineRule="auto"/>
              <w:ind w:left="-88"/>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序号</w:t>
            </w:r>
          </w:p>
        </w:tc>
        <w:tc>
          <w:tcPr>
            <w:tcW w:w="1803" w:type="dxa"/>
            <w:tcBorders>
              <w:top w:val="double" w:color="000000" w:sz="4"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135BBC2">
            <w:pPr>
              <w:snapToGrid w:val="0"/>
              <w:spacing w:line="360" w:lineRule="auto"/>
              <w:ind w:left="-88"/>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磋商文件条目号</w:t>
            </w:r>
          </w:p>
        </w:tc>
        <w:tc>
          <w:tcPr>
            <w:tcW w:w="2084" w:type="dxa"/>
            <w:tcBorders>
              <w:top w:val="double" w:color="000000" w:sz="4"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559C1EC">
            <w:pPr>
              <w:snapToGrid w:val="0"/>
              <w:spacing w:line="360" w:lineRule="auto"/>
              <w:ind w:left="-88"/>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采购规格/商务条款</w:t>
            </w:r>
          </w:p>
        </w:tc>
        <w:tc>
          <w:tcPr>
            <w:tcW w:w="2782" w:type="dxa"/>
            <w:tcBorders>
              <w:top w:val="double" w:color="000000" w:sz="4"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42B4C2F">
            <w:pPr>
              <w:snapToGrid w:val="0"/>
              <w:spacing w:line="360" w:lineRule="auto"/>
              <w:ind w:left="-88"/>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响应文件的规格/商务条款</w:t>
            </w:r>
          </w:p>
        </w:tc>
        <w:tc>
          <w:tcPr>
            <w:tcW w:w="1298" w:type="dxa"/>
            <w:tcBorders>
              <w:top w:val="double" w:color="000000" w:sz="4"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6162EC3">
            <w:pPr>
              <w:snapToGrid w:val="0"/>
              <w:spacing w:line="360" w:lineRule="auto"/>
              <w:ind w:left="-88"/>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响应与偏离</w:t>
            </w:r>
          </w:p>
        </w:tc>
        <w:tc>
          <w:tcPr>
            <w:tcW w:w="707" w:type="dxa"/>
            <w:tcBorders>
              <w:top w:val="double" w:color="000000" w:sz="4" w:space="0"/>
              <w:left w:val="single" w:color="000000" w:sz="6" w:space="0"/>
              <w:bottom w:val="single" w:color="000000" w:sz="6" w:space="0"/>
              <w:right w:val="double" w:color="000000" w:sz="4" w:space="0"/>
            </w:tcBorders>
            <w:noWrap w:val="0"/>
            <w:tcMar>
              <w:top w:w="0" w:type="dxa"/>
              <w:left w:w="28" w:type="dxa"/>
              <w:bottom w:w="0" w:type="dxa"/>
              <w:right w:w="28" w:type="dxa"/>
            </w:tcMar>
            <w:vAlign w:val="center"/>
          </w:tcPr>
          <w:p w14:paraId="0D742C8B">
            <w:pPr>
              <w:snapToGrid w:val="0"/>
              <w:spacing w:line="360" w:lineRule="auto"/>
              <w:ind w:left="-88"/>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说明</w:t>
            </w:r>
          </w:p>
        </w:tc>
      </w:tr>
      <w:tr w14:paraId="63730073">
        <w:tblPrEx>
          <w:tblCellMar>
            <w:top w:w="0" w:type="dxa"/>
            <w:left w:w="0" w:type="dxa"/>
            <w:bottom w:w="0" w:type="dxa"/>
            <w:right w:w="0" w:type="dxa"/>
          </w:tblCellMar>
        </w:tblPrEx>
        <w:trPr>
          <w:trHeight w:val="505" w:hRule="atLeast"/>
          <w:jc w:val="center"/>
        </w:trPr>
        <w:tc>
          <w:tcPr>
            <w:tcW w:w="680" w:type="dxa"/>
            <w:tcBorders>
              <w:top w:val="single" w:color="000000" w:sz="6" w:space="0"/>
              <w:left w:val="double" w:color="000000" w:sz="4" w:space="0"/>
              <w:bottom w:val="single" w:color="000000" w:sz="6" w:space="0"/>
              <w:right w:val="single" w:color="000000" w:sz="6" w:space="0"/>
            </w:tcBorders>
            <w:noWrap w:val="0"/>
            <w:tcMar>
              <w:top w:w="0" w:type="dxa"/>
              <w:left w:w="28" w:type="dxa"/>
              <w:bottom w:w="0" w:type="dxa"/>
              <w:right w:w="28" w:type="dxa"/>
            </w:tcMar>
            <w:vAlign w:val="top"/>
          </w:tcPr>
          <w:p w14:paraId="00283D80">
            <w:pPr>
              <w:snapToGrid w:val="0"/>
              <w:spacing w:line="360" w:lineRule="auto"/>
              <w:ind w:left="-88"/>
              <w:jc w:val="center"/>
              <w:rPr>
                <w:rFonts w:ascii="宋体" w:hAnsi="宋体" w:eastAsia="宋体" w:cs="Times New Roman"/>
                <w:color w:val="auto"/>
                <w:kern w:val="0"/>
                <w:szCs w:val="20"/>
                <w:highlight w:val="none"/>
              </w:rPr>
            </w:pPr>
          </w:p>
        </w:tc>
        <w:tc>
          <w:tcPr>
            <w:tcW w:w="180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936DFF3">
            <w:pPr>
              <w:snapToGrid w:val="0"/>
              <w:spacing w:line="360" w:lineRule="auto"/>
              <w:ind w:left="-88"/>
              <w:jc w:val="center"/>
              <w:rPr>
                <w:rFonts w:ascii="宋体" w:hAnsi="宋体" w:eastAsia="宋体" w:cs="Times New Roman"/>
                <w:color w:val="auto"/>
                <w:kern w:val="0"/>
                <w:szCs w:val="20"/>
                <w:highlight w:val="none"/>
              </w:rPr>
            </w:pPr>
          </w:p>
        </w:tc>
        <w:tc>
          <w:tcPr>
            <w:tcW w:w="20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528B1F3">
            <w:pPr>
              <w:snapToGrid w:val="0"/>
              <w:spacing w:line="360" w:lineRule="auto"/>
              <w:ind w:left="-88"/>
              <w:jc w:val="center"/>
              <w:rPr>
                <w:rFonts w:ascii="宋体" w:hAnsi="宋体" w:eastAsia="宋体" w:cs="Times New Roman"/>
                <w:color w:val="auto"/>
                <w:kern w:val="0"/>
                <w:szCs w:val="20"/>
                <w:highlight w:val="none"/>
              </w:rPr>
            </w:pPr>
          </w:p>
        </w:tc>
        <w:tc>
          <w:tcPr>
            <w:tcW w:w="278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EA09202">
            <w:pPr>
              <w:snapToGrid w:val="0"/>
              <w:spacing w:line="360" w:lineRule="auto"/>
              <w:ind w:left="-88"/>
              <w:jc w:val="center"/>
              <w:rPr>
                <w:rFonts w:ascii="宋体" w:hAnsi="宋体" w:eastAsia="宋体" w:cs="Times New Roman"/>
                <w:color w:val="auto"/>
                <w:kern w:val="0"/>
                <w:szCs w:val="20"/>
                <w:highlight w:val="none"/>
              </w:rPr>
            </w:pPr>
          </w:p>
        </w:tc>
        <w:tc>
          <w:tcPr>
            <w:tcW w:w="129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20AB707">
            <w:pPr>
              <w:snapToGrid w:val="0"/>
              <w:spacing w:line="360" w:lineRule="auto"/>
              <w:ind w:left="-88"/>
              <w:jc w:val="center"/>
              <w:rPr>
                <w:rFonts w:ascii="宋体" w:hAnsi="宋体" w:eastAsia="宋体" w:cs="Times New Roman"/>
                <w:color w:val="auto"/>
                <w:kern w:val="0"/>
                <w:szCs w:val="20"/>
                <w:highlight w:val="none"/>
              </w:rPr>
            </w:pPr>
          </w:p>
        </w:tc>
        <w:tc>
          <w:tcPr>
            <w:tcW w:w="707" w:type="dxa"/>
            <w:tcBorders>
              <w:top w:val="single" w:color="000000" w:sz="6" w:space="0"/>
              <w:left w:val="single" w:color="000000" w:sz="6" w:space="0"/>
              <w:bottom w:val="single" w:color="000000" w:sz="6" w:space="0"/>
              <w:right w:val="double" w:color="000000" w:sz="4" w:space="0"/>
            </w:tcBorders>
            <w:noWrap w:val="0"/>
            <w:tcMar>
              <w:top w:w="0" w:type="dxa"/>
              <w:left w:w="28" w:type="dxa"/>
              <w:bottom w:w="0" w:type="dxa"/>
              <w:right w:w="28" w:type="dxa"/>
            </w:tcMar>
            <w:vAlign w:val="center"/>
          </w:tcPr>
          <w:p w14:paraId="1B2E6167">
            <w:pPr>
              <w:snapToGrid w:val="0"/>
              <w:spacing w:line="360" w:lineRule="auto"/>
              <w:ind w:left="-88"/>
              <w:jc w:val="center"/>
              <w:rPr>
                <w:rFonts w:ascii="宋体" w:hAnsi="宋体" w:eastAsia="宋体" w:cs="Times New Roman"/>
                <w:color w:val="auto"/>
                <w:kern w:val="0"/>
                <w:szCs w:val="20"/>
                <w:highlight w:val="none"/>
              </w:rPr>
            </w:pPr>
          </w:p>
        </w:tc>
      </w:tr>
      <w:tr w14:paraId="2AA0D363">
        <w:tblPrEx>
          <w:tblCellMar>
            <w:top w:w="0" w:type="dxa"/>
            <w:left w:w="0" w:type="dxa"/>
            <w:bottom w:w="0" w:type="dxa"/>
            <w:right w:w="0" w:type="dxa"/>
          </w:tblCellMar>
        </w:tblPrEx>
        <w:trPr>
          <w:trHeight w:val="505" w:hRule="atLeast"/>
          <w:jc w:val="center"/>
        </w:trPr>
        <w:tc>
          <w:tcPr>
            <w:tcW w:w="680" w:type="dxa"/>
            <w:tcBorders>
              <w:top w:val="single" w:color="000000" w:sz="6" w:space="0"/>
              <w:left w:val="double" w:color="000000" w:sz="4" w:space="0"/>
              <w:bottom w:val="single" w:color="000000" w:sz="6" w:space="0"/>
              <w:right w:val="single" w:color="000000" w:sz="6" w:space="0"/>
            </w:tcBorders>
            <w:noWrap w:val="0"/>
            <w:tcMar>
              <w:top w:w="0" w:type="dxa"/>
              <w:left w:w="28" w:type="dxa"/>
              <w:bottom w:w="0" w:type="dxa"/>
              <w:right w:w="28" w:type="dxa"/>
            </w:tcMar>
            <w:vAlign w:val="top"/>
          </w:tcPr>
          <w:p w14:paraId="0EE93784">
            <w:pPr>
              <w:snapToGrid w:val="0"/>
              <w:spacing w:line="360" w:lineRule="auto"/>
              <w:ind w:left="-88"/>
              <w:jc w:val="center"/>
              <w:rPr>
                <w:rFonts w:ascii="宋体" w:hAnsi="宋体" w:eastAsia="宋体" w:cs="Times New Roman"/>
                <w:color w:val="auto"/>
                <w:kern w:val="0"/>
                <w:szCs w:val="20"/>
                <w:highlight w:val="none"/>
              </w:rPr>
            </w:pPr>
          </w:p>
        </w:tc>
        <w:tc>
          <w:tcPr>
            <w:tcW w:w="180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EF20FE8">
            <w:pPr>
              <w:snapToGrid w:val="0"/>
              <w:spacing w:line="360" w:lineRule="auto"/>
              <w:ind w:left="-88"/>
              <w:jc w:val="center"/>
              <w:rPr>
                <w:rFonts w:ascii="宋体" w:hAnsi="宋体" w:eastAsia="宋体" w:cs="Times New Roman"/>
                <w:color w:val="auto"/>
                <w:kern w:val="0"/>
                <w:szCs w:val="20"/>
                <w:highlight w:val="none"/>
              </w:rPr>
            </w:pPr>
          </w:p>
        </w:tc>
        <w:tc>
          <w:tcPr>
            <w:tcW w:w="20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BD192AB">
            <w:pPr>
              <w:snapToGrid w:val="0"/>
              <w:spacing w:line="360" w:lineRule="auto"/>
              <w:ind w:left="-88"/>
              <w:jc w:val="center"/>
              <w:rPr>
                <w:rFonts w:ascii="宋体" w:hAnsi="宋体" w:eastAsia="宋体" w:cs="Times New Roman"/>
                <w:color w:val="auto"/>
                <w:kern w:val="0"/>
                <w:szCs w:val="20"/>
                <w:highlight w:val="none"/>
              </w:rPr>
            </w:pPr>
          </w:p>
        </w:tc>
        <w:tc>
          <w:tcPr>
            <w:tcW w:w="278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91915AF">
            <w:pPr>
              <w:snapToGrid w:val="0"/>
              <w:spacing w:line="360" w:lineRule="auto"/>
              <w:ind w:left="-88"/>
              <w:jc w:val="center"/>
              <w:rPr>
                <w:rFonts w:ascii="宋体" w:hAnsi="宋体" w:eastAsia="宋体" w:cs="Times New Roman"/>
                <w:color w:val="auto"/>
                <w:kern w:val="0"/>
                <w:szCs w:val="20"/>
                <w:highlight w:val="none"/>
              </w:rPr>
            </w:pPr>
          </w:p>
        </w:tc>
        <w:tc>
          <w:tcPr>
            <w:tcW w:w="129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B345C08">
            <w:pPr>
              <w:snapToGrid w:val="0"/>
              <w:spacing w:line="360" w:lineRule="auto"/>
              <w:ind w:left="-88"/>
              <w:jc w:val="center"/>
              <w:rPr>
                <w:rFonts w:ascii="宋体" w:hAnsi="宋体" w:eastAsia="宋体" w:cs="Times New Roman"/>
                <w:color w:val="auto"/>
                <w:kern w:val="0"/>
                <w:szCs w:val="20"/>
                <w:highlight w:val="none"/>
              </w:rPr>
            </w:pPr>
          </w:p>
        </w:tc>
        <w:tc>
          <w:tcPr>
            <w:tcW w:w="707" w:type="dxa"/>
            <w:tcBorders>
              <w:top w:val="single" w:color="000000" w:sz="6" w:space="0"/>
              <w:left w:val="single" w:color="000000" w:sz="6" w:space="0"/>
              <w:bottom w:val="single" w:color="000000" w:sz="6" w:space="0"/>
              <w:right w:val="double" w:color="000000" w:sz="4" w:space="0"/>
            </w:tcBorders>
            <w:noWrap w:val="0"/>
            <w:tcMar>
              <w:top w:w="0" w:type="dxa"/>
              <w:left w:w="28" w:type="dxa"/>
              <w:bottom w:w="0" w:type="dxa"/>
              <w:right w:w="28" w:type="dxa"/>
            </w:tcMar>
            <w:vAlign w:val="center"/>
          </w:tcPr>
          <w:p w14:paraId="5AEF948E">
            <w:pPr>
              <w:snapToGrid w:val="0"/>
              <w:spacing w:line="360" w:lineRule="auto"/>
              <w:ind w:left="-88"/>
              <w:jc w:val="center"/>
              <w:rPr>
                <w:rFonts w:ascii="宋体" w:hAnsi="宋体" w:eastAsia="宋体" w:cs="Times New Roman"/>
                <w:color w:val="auto"/>
                <w:kern w:val="0"/>
                <w:szCs w:val="20"/>
                <w:highlight w:val="none"/>
              </w:rPr>
            </w:pPr>
          </w:p>
        </w:tc>
      </w:tr>
      <w:tr w14:paraId="17911926">
        <w:tblPrEx>
          <w:tblCellMar>
            <w:top w:w="0" w:type="dxa"/>
            <w:left w:w="0" w:type="dxa"/>
            <w:bottom w:w="0" w:type="dxa"/>
            <w:right w:w="0" w:type="dxa"/>
          </w:tblCellMar>
        </w:tblPrEx>
        <w:trPr>
          <w:trHeight w:val="505" w:hRule="atLeast"/>
          <w:jc w:val="center"/>
        </w:trPr>
        <w:tc>
          <w:tcPr>
            <w:tcW w:w="680" w:type="dxa"/>
            <w:tcBorders>
              <w:top w:val="single" w:color="000000" w:sz="6" w:space="0"/>
              <w:left w:val="double" w:color="000000" w:sz="4" w:space="0"/>
              <w:bottom w:val="single" w:color="000000" w:sz="6" w:space="0"/>
              <w:right w:val="single" w:color="000000" w:sz="6" w:space="0"/>
            </w:tcBorders>
            <w:noWrap w:val="0"/>
            <w:tcMar>
              <w:top w:w="0" w:type="dxa"/>
              <w:left w:w="28" w:type="dxa"/>
              <w:bottom w:w="0" w:type="dxa"/>
              <w:right w:w="28" w:type="dxa"/>
            </w:tcMar>
            <w:vAlign w:val="top"/>
          </w:tcPr>
          <w:p w14:paraId="1BA2AE80">
            <w:pPr>
              <w:snapToGrid w:val="0"/>
              <w:spacing w:line="360" w:lineRule="auto"/>
              <w:ind w:left="-88"/>
              <w:jc w:val="center"/>
              <w:rPr>
                <w:rFonts w:ascii="宋体" w:hAnsi="宋体" w:eastAsia="宋体" w:cs="Times New Roman"/>
                <w:color w:val="auto"/>
                <w:kern w:val="0"/>
                <w:szCs w:val="20"/>
                <w:highlight w:val="none"/>
              </w:rPr>
            </w:pPr>
          </w:p>
        </w:tc>
        <w:tc>
          <w:tcPr>
            <w:tcW w:w="180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E92C66D">
            <w:pPr>
              <w:snapToGrid w:val="0"/>
              <w:spacing w:line="360" w:lineRule="auto"/>
              <w:ind w:left="-88"/>
              <w:jc w:val="center"/>
              <w:rPr>
                <w:rFonts w:ascii="宋体" w:hAnsi="宋体" w:eastAsia="宋体" w:cs="Times New Roman"/>
                <w:color w:val="auto"/>
                <w:kern w:val="0"/>
                <w:szCs w:val="20"/>
                <w:highlight w:val="none"/>
              </w:rPr>
            </w:pPr>
          </w:p>
        </w:tc>
        <w:tc>
          <w:tcPr>
            <w:tcW w:w="20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BBD93FD">
            <w:pPr>
              <w:snapToGrid w:val="0"/>
              <w:spacing w:line="360" w:lineRule="auto"/>
              <w:ind w:left="-88"/>
              <w:jc w:val="center"/>
              <w:rPr>
                <w:rFonts w:ascii="宋体" w:hAnsi="宋体" w:eastAsia="宋体" w:cs="Times New Roman"/>
                <w:color w:val="auto"/>
                <w:kern w:val="0"/>
                <w:szCs w:val="20"/>
                <w:highlight w:val="none"/>
              </w:rPr>
            </w:pPr>
          </w:p>
        </w:tc>
        <w:tc>
          <w:tcPr>
            <w:tcW w:w="278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FAE993C">
            <w:pPr>
              <w:snapToGrid w:val="0"/>
              <w:spacing w:line="360" w:lineRule="auto"/>
              <w:ind w:left="-88"/>
              <w:jc w:val="center"/>
              <w:rPr>
                <w:rFonts w:ascii="宋体" w:hAnsi="宋体" w:eastAsia="宋体" w:cs="Times New Roman"/>
                <w:color w:val="auto"/>
                <w:kern w:val="0"/>
                <w:szCs w:val="20"/>
                <w:highlight w:val="none"/>
              </w:rPr>
            </w:pPr>
          </w:p>
        </w:tc>
        <w:tc>
          <w:tcPr>
            <w:tcW w:w="129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6CCE598">
            <w:pPr>
              <w:snapToGrid w:val="0"/>
              <w:spacing w:line="360" w:lineRule="auto"/>
              <w:ind w:left="-88"/>
              <w:jc w:val="center"/>
              <w:rPr>
                <w:rFonts w:ascii="宋体" w:hAnsi="宋体" w:eastAsia="宋体" w:cs="Times New Roman"/>
                <w:color w:val="auto"/>
                <w:kern w:val="0"/>
                <w:szCs w:val="20"/>
                <w:highlight w:val="none"/>
              </w:rPr>
            </w:pPr>
          </w:p>
        </w:tc>
        <w:tc>
          <w:tcPr>
            <w:tcW w:w="707" w:type="dxa"/>
            <w:tcBorders>
              <w:top w:val="single" w:color="000000" w:sz="6" w:space="0"/>
              <w:left w:val="single" w:color="000000" w:sz="6" w:space="0"/>
              <w:bottom w:val="single" w:color="000000" w:sz="6" w:space="0"/>
              <w:right w:val="double" w:color="000000" w:sz="4" w:space="0"/>
            </w:tcBorders>
            <w:noWrap w:val="0"/>
            <w:tcMar>
              <w:top w:w="0" w:type="dxa"/>
              <w:left w:w="28" w:type="dxa"/>
              <w:bottom w:w="0" w:type="dxa"/>
              <w:right w:w="28" w:type="dxa"/>
            </w:tcMar>
            <w:vAlign w:val="center"/>
          </w:tcPr>
          <w:p w14:paraId="786D3452">
            <w:pPr>
              <w:snapToGrid w:val="0"/>
              <w:spacing w:line="360" w:lineRule="auto"/>
              <w:ind w:left="-88"/>
              <w:jc w:val="center"/>
              <w:rPr>
                <w:rFonts w:ascii="宋体" w:hAnsi="宋体" w:eastAsia="宋体" w:cs="Times New Roman"/>
                <w:color w:val="auto"/>
                <w:kern w:val="0"/>
                <w:szCs w:val="20"/>
                <w:highlight w:val="none"/>
              </w:rPr>
            </w:pPr>
          </w:p>
        </w:tc>
      </w:tr>
      <w:tr w14:paraId="0AE0BAEE">
        <w:tblPrEx>
          <w:tblCellMar>
            <w:top w:w="0" w:type="dxa"/>
            <w:left w:w="0" w:type="dxa"/>
            <w:bottom w:w="0" w:type="dxa"/>
            <w:right w:w="0" w:type="dxa"/>
          </w:tblCellMar>
        </w:tblPrEx>
        <w:trPr>
          <w:trHeight w:val="505" w:hRule="atLeast"/>
          <w:jc w:val="center"/>
        </w:trPr>
        <w:tc>
          <w:tcPr>
            <w:tcW w:w="680" w:type="dxa"/>
            <w:tcBorders>
              <w:top w:val="single" w:color="000000" w:sz="6" w:space="0"/>
              <w:left w:val="double" w:color="000000" w:sz="4" w:space="0"/>
              <w:bottom w:val="single" w:color="000000" w:sz="6" w:space="0"/>
              <w:right w:val="single" w:color="000000" w:sz="6" w:space="0"/>
            </w:tcBorders>
            <w:noWrap w:val="0"/>
            <w:tcMar>
              <w:top w:w="0" w:type="dxa"/>
              <w:left w:w="28" w:type="dxa"/>
              <w:bottom w:w="0" w:type="dxa"/>
              <w:right w:w="28" w:type="dxa"/>
            </w:tcMar>
            <w:vAlign w:val="top"/>
          </w:tcPr>
          <w:p w14:paraId="1BDD496B">
            <w:pPr>
              <w:snapToGrid w:val="0"/>
              <w:spacing w:line="360" w:lineRule="auto"/>
              <w:ind w:left="-88"/>
              <w:jc w:val="center"/>
              <w:rPr>
                <w:rFonts w:ascii="宋体" w:hAnsi="宋体" w:eastAsia="宋体" w:cs="Times New Roman"/>
                <w:color w:val="auto"/>
                <w:kern w:val="0"/>
                <w:szCs w:val="20"/>
                <w:highlight w:val="none"/>
              </w:rPr>
            </w:pPr>
          </w:p>
        </w:tc>
        <w:tc>
          <w:tcPr>
            <w:tcW w:w="180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D90D12F">
            <w:pPr>
              <w:snapToGrid w:val="0"/>
              <w:spacing w:line="360" w:lineRule="auto"/>
              <w:ind w:left="-88"/>
              <w:jc w:val="center"/>
              <w:rPr>
                <w:rFonts w:ascii="宋体" w:hAnsi="宋体" w:eastAsia="宋体" w:cs="Times New Roman"/>
                <w:color w:val="auto"/>
                <w:kern w:val="0"/>
                <w:szCs w:val="20"/>
                <w:highlight w:val="none"/>
              </w:rPr>
            </w:pPr>
          </w:p>
        </w:tc>
        <w:tc>
          <w:tcPr>
            <w:tcW w:w="20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DC0C097">
            <w:pPr>
              <w:snapToGrid w:val="0"/>
              <w:spacing w:line="360" w:lineRule="auto"/>
              <w:ind w:left="-88"/>
              <w:jc w:val="center"/>
              <w:rPr>
                <w:rFonts w:ascii="宋体" w:hAnsi="宋体" w:eastAsia="宋体" w:cs="Times New Roman"/>
                <w:color w:val="auto"/>
                <w:kern w:val="0"/>
                <w:szCs w:val="20"/>
                <w:highlight w:val="none"/>
              </w:rPr>
            </w:pPr>
          </w:p>
        </w:tc>
        <w:tc>
          <w:tcPr>
            <w:tcW w:w="278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7943A2C">
            <w:pPr>
              <w:snapToGrid w:val="0"/>
              <w:spacing w:line="360" w:lineRule="auto"/>
              <w:ind w:left="-88"/>
              <w:jc w:val="center"/>
              <w:rPr>
                <w:rFonts w:ascii="宋体" w:hAnsi="宋体" w:eastAsia="宋体" w:cs="Times New Roman"/>
                <w:color w:val="auto"/>
                <w:kern w:val="0"/>
                <w:szCs w:val="20"/>
                <w:highlight w:val="none"/>
              </w:rPr>
            </w:pPr>
          </w:p>
        </w:tc>
        <w:tc>
          <w:tcPr>
            <w:tcW w:w="129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D740128">
            <w:pPr>
              <w:snapToGrid w:val="0"/>
              <w:spacing w:line="360" w:lineRule="auto"/>
              <w:ind w:left="-88"/>
              <w:jc w:val="center"/>
              <w:rPr>
                <w:rFonts w:ascii="宋体" w:hAnsi="宋体" w:eastAsia="宋体" w:cs="Times New Roman"/>
                <w:color w:val="auto"/>
                <w:kern w:val="0"/>
                <w:szCs w:val="20"/>
                <w:highlight w:val="none"/>
              </w:rPr>
            </w:pPr>
          </w:p>
        </w:tc>
        <w:tc>
          <w:tcPr>
            <w:tcW w:w="707" w:type="dxa"/>
            <w:tcBorders>
              <w:top w:val="single" w:color="000000" w:sz="6" w:space="0"/>
              <w:left w:val="single" w:color="000000" w:sz="6" w:space="0"/>
              <w:bottom w:val="single" w:color="000000" w:sz="6" w:space="0"/>
              <w:right w:val="double" w:color="000000" w:sz="4" w:space="0"/>
            </w:tcBorders>
            <w:noWrap w:val="0"/>
            <w:tcMar>
              <w:top w:w="0" w:type="dxa"/>
              <w:left w:w="28" w:type="dxa"/>
              <w:bottom w:w="0" w:type="dxa"/>
              <w:right w:w="28" w:type="dxa"/>
            </w:tcMar>
            <w:vAlign w:val="center"/>
          </w:tcPr>
          <w:p w14:paraId="3BB1BFE2">
            <w:pPr>
              <w:snapToGrid w:val="0"/>
              <w:spacing w:line="360" w:lineRule="auto"/>
              <w:ind w:left="-88"/>
              <w:jc w:val="center"/>
              <w:rPr>
                <w:rFonts w:ascii="宋体" w:hAnsi="宋体" w:eastAsia="宋体" w:cs="Times New Roman"/>
                <w:color w:val="auto"/>
                <w:kern w:val="0"/>
                <w:szCs w:val="20"/>
                <w:highlight w:val="none"/>
              </w:rPr>
            </w:pPr>
          </w:p>
        </w:tc>
      </w:tr>
      <w:tr w14:paraId="1606D036">
        <w:tblPrEx>
          <w:tblCellMar>
            <w:top w:w="0" w:type="dxa"/>
            <w:left w:w="0" w:type="dxa"/>
            <w:bottom w:w="0" w:type="dxa"/>
            <w:right w:w="0" w:type="dxa"/>
          </w:tblCellMar>
        </w:tblPrEx>
        <w:trPr>
          <w:trHeight w:val="505" w:hRule="atLeast"/>
          <w:jc w:val="center"/>
        </w:trPr>
        <w:tc>
          <w:tcPr>
            <w:tcW w:w="680" w:type="dxa"/>
            <w:tcBorders>
              <w:top w:val="single" w:color="000000" w:sz="6" w:space="0"/>
              <w:left w:val="double" w:color="000000" w:sz="4" w:space="0"/>
              <w:bottom w:val="double" w:color="000000" w:sz="4" w:space="0"/>
              <w:right w:val="single" w:color="000000" w:sz="6" w:space="0"/>
            </w:tcBorders>
            <w:noWrap w:val="0"/>
            <w:tcMar>
              <w:top w:w="0" w:type="dxa"/>
              <w:left w:w="28" w:type="dxa"/>
              <w:bottom w:w="0" w:type="dxa"/>
              <w:right w:w="28" w:type="dxa"/>
            </w:tcMar>
            <w:vAlign w:val="top"/>
          </w:tcPr>
          <w:p w14:paraId="781F49F2">
            <w:pPr>
              <w:snapToGrid w:val="0"/>
              <w:spacing w:line="360" w:lineRule="auto"/>
              <w:ind w:left="-88"/>
              <w:jc w:val="center"/>
              <w:rPr>
                <w:rFonts w:ascii="宋体" w:hAnsi="宋体" w:eastAsia="宋体" w:cs="Times New Roman"/>
                <w:color w:val="auto"/>
                <w:kern w:val="0"/>
                <w:szCs w:val="20"/>
                <w:highlight w:val="none"/>
              </w:rPr>
            </w:pPr>
          </w:p>
        </w:tc>
        <w:tc>
          <w:tcPr>
            <w:tcW w:w="1803" w:type="dxa"/>
            <w:tcBorders>
              <w:top w:val="single" w:color="000000" w:sz="6" w:space="0"/>
              <w:left w:val="single" w:color="000000" w:sz="6" w:space="0"/>
              <w:bottom w:val="double" w:color="000000" w:sz="4" w:space="0"/>
              <w:right w:val="single" w:color="000000" w:sz="6" w:space="0"/>
            </w:tcBorders>
            <w:noWrap w:val="0"/>
            <w:tcMar>
              <w:top w:w="0" w:type="dxa"/>
              <w:left w:w="28" w:type="dxa"/>
              <w:bottom w:w="0" w:type="dxa"/>
              <w:right w:w="28" w:type="dxa"/>
            </w:tcMar>
            <w:vAlign w:val="center"/>
          </w:tcPr>
          <w:p w14:paraId="2F842525">
            <w:pPr>
              <w:snapToGrid w:val="0"/>
              <w:spacing w:line="360" w:lineRule="auto"/>
              <w:ind w:left="-88"/>
              <w:jc w:val="center"/>
              <w:rPr>
                <w:rFonts w:ascii="宋体" w:hAnsi="宋体" w:eastAsia="宋体" w:cs="Times New Roman"/>
                <w:color w:val="auto"/>
                <w:kern w:val="0"/>
                <w:szCs w:val="20"/>
                <w:highlight w:val="none"/>
              </w:rPr>
            </w:pPr>
          </w:p>
        </w:tc>
        <w:tc>
          <w:tcPr>
            <w:tcW w:w="2084" w:type="dxa"/>
            <w:tcBorders>
              <w:top w:val="single" w:color="000000" w:sz="6" w:space="0"/>
              <w:left w:val="single" w:color="000000" w:sz="6" w:space="0"/>
              <w:bottom w:val="double" w:color="000000" w:sz="4" w:space="0"/>
              <w:right w:val="single" w:color="000000" w:sz="6" w:space="0"/>
            </w:tcBorders>
            <w:noWrap w:val="0"/>
            <w:tcMar>
              <w:top w:w="0" w:type="dxa"/>
              <w:left w:w="28" w:type="dxa"/>
              <w:bottom w:w="0" w:type="dxa"/>
              <w:right w:w="28" w:type="dxa"/>
            </w:tcMar>
            <w:vAlign w:val="center"/>
          </w:tcPr>
          <w:p w14:paraId="7926F1C7">
            <w:pPr>
              <w:snapToGrid w:val="0"/>
              <w:spacing w:line="360" w:lineRule="auto"/>
              <w:ind w:left="-88"/>
              <w:jc w:val="center"/>
              <w:rPr>
                <w:rFonts w:ascii="宋体" w:hAnsi="宋体" w:eastAsia="宋体" w:cs="Times New Roman"/>
                <w:color w:val="auto"/>
                <w:kern w:val="0"/>
                <w:szCs w:val="20"/>
                <w:highlight w:val="none"/>
              </w:rPr>
            </w:pPr>
          </w:p>
        </w:tc>
        <w:tc>
          <w:tcPr>
            <w:tcW w:w="2782" w:type="dxa"/>
            <w:tcBorders>
              <w:top w:val="single" w:color="000000" w:sz="6" w:space="0"/>
              <w:left w:val="single" w:color="000000" w:sz="6" w:space="0"/>
              <w:bottom w:val="double" w:color="000000" w:sz="4" w:space="0"/>
              <w:right w:val="single" w:color="000000" w:sz="6" w:space="0"/>
            </w:tcBorders>
            <w:noWrap w:val="0"/>
            <w:tcMar>
              <w:top w:w="0" w:type="dxa"/>
              <w:left w:w="28" w:type="dxa"/>
              <w:bottom w:w="0" w:type="dxa"/>
              <w:right w:w="28" w:type="dxa"/>
            </w:tcMar>
            <w:vAlign w:val="center"/>
          </w:tcPr>
          <w:p w14:paraId="4551AB22">
            <w:pPr>
              <w:snapToGrid w:val="0"/>
              <w:spacing w:line="360" w:lineRule="auto"/>
              <w:ind w:left="-88"/>
              <w:jc w:val="center"/>
              <w:rPr>
                <w:rFonts w:ascii="宋体" w:hAnsi="宋体" w:eastAsia="宋体" w:cs="Times New Roman"/>
                <w:color w:val="auto"/>
                <w:kern w:val="0"/>
                <w:szCs w:val="20"/>
                <w:highlight w:val="none"/>
              </w:rPr>
            </w:pPr>
          </w:p>
        </w:tc>
        <w:tc>
          <w:tcPr>
            <w:tcW w:w="1298" w:type="dxa"/>
            <w:tcBorders>
              <w:top w:val="single" w:color="000000" w:sz="6" w:space="0"/>
              <w:left w:val="single" w:color="000000" w:sz="6" w:space="0"/>
              <w:bottom w:val="double" w:color="000000" w:sz="4" w:space="0"/>
              <w:right w:val="single" w:color="000000" w:sz="6" w:space="0"/>
            </w:tcBorders>
            <w:noWrap w:val="0"/>
            <w:tcMar>
              <w:top w:w="0" w:type="dxa"/>
              <w:left w:w="28" w:type="dxa"/>
              <w:bottom w:w="0" w:type="dxa"/>
              <w:right w:w="28" w:type="dxa"/>
            </w:tcMar>
            <w:vAlign w:val="center"/>
          </w:tcPr>
          <w:p w14:paraId="175341B7">
            <w:pPr>
              <w:snapToGrid w:val="0"/>
              <w:spacing w:line="360" w:lineRule="auto"/>
              <w:ind w:left="-88"/>
              <w:jc w:val="center"/>
              <w:rPr>
                <w:rFonts w:ascii="宋体" w:hAnsi="宋体" w:eastAsia="宋体" w:cs="Times New Roman"/>
                <w:color w:val="auto"/>
                <w:kern w:val="0"/>
                <w:szCs w:val="20"/>
                <w:highlight w:val="none"/>
              </w:rPr>
            </w:pPr>
          </w:p>
        </w:tc>
        <w:tc>
          <w:tcPr>
            <w:tcW w:w="707" w:type="dxa"/>
            <w:tcBorders>
              <w:top w:val="single" w:color="000000" w:sz="6" w:space="0"/>
              <w:left w:val="single" w:color="000000" w:sz="6" w:space="0"/>
              <w:bottom w:val="double" w:color="000000" w:sz="4" w:space="0"/>
              <w:right w:val="double" w:color="000000" w:sz="4" w:space="0"/>
            </w:tcBorders>
            <w:noWrap w:val="0"/>
            <w:tcMar>
              <w:top w:w="0" w:type="dxa"/>
              <w:left w:w="28" w:type="dxa"/>
              <w:bottom w:w="0" w:type="dxa"/>
              <w:right w:w="28" w:type="dxa"/>
            </w:tcMar>
            <w:vAlign w:val="center"/>
          </w:tcPr>
          <w:p w14:paraId="7175141C">
            <w:pPr>
              <w:snapToGrid w:val="0"/>
              <w:spacing w:line="360" w:lineRule="auto"/>
              <w:ind w:left="-88"/>
              <w:jc w:val="center"/>
              <w:rPr>
                <w:rFonts w:ascii="宋体" w:hAnsi="宋体" w:eastAsia="宋体" w:cs="Times New Roman"/>
                <w:color w:val="auto"/>
                <w:kern w:val="0"/>
                <w:szCs w:val="20"/>
                <w:highlight w:val="none"/>
              </w:rPr>
            </w:pPr>
          </w:p>
        </w:tc>
      </w:tr>
    </w:tbl>
    <w:p w14:paraId="232B4E4B">
      <w:pPr>
        <w:snapToGrid w:val="0"/>
        <w:spacing w:line="360" w:lineRule="auto"/>
        <w:ind w:left="-88"/>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说明：1、“响应与偏离”应注明“响应”或“偏离”。</w:t>
      </w:r>
    </w:p>
    <w:p w14:paraId="01D1A16F">
      <w:pPr>
        <w:snapToGrid w:val="0"/>
        <w:spacing w:line="360" w:lineRule="auto"/>
        <w:rPr>
          <w:rFonts w:ascii="宋体" w:hAnsi="宋体" w:eastAsia="宋体" w:cs="Times New Roman"/>
          <w:color w:val="auto"/>
          <w:kern w:val="0"/>
          <w:szCs w:val="20"/>
          <w:highlight w:val="none"/>
        </w:rPr>
      </w:pPr>
      <w:r>
        <w:rPr>
          <w:rFonts w:hint="eastAsia" w:ascii="宋体" w:hAnsi="宋体" w:eastAsia="宋体" w:cs="Times New Roman"/>
          <w:b/>
          <w:color w:val="auto"/>
          <w:kern w:val="0"/>
          <w:szCs w:val="20"/>
          <w:highlight w:val="none"/>
        </w:rPr>
        <w:t xml:space="preserve">     </w:t>
      </w:r>
      <w:r>
        <w:rPr>
          <w:rFonts w:hint="eastAsia" w:ascii="宋体" w:hAnsi="宋体" w:eastAsia="宋体" w:cs="Times New Roman"/>
          <w:color w:val="auto"/>
          <w:kern w:val="0"/>
          <w:szCs w:val="20"/>
          <w:highlight w:val="none"/>
        </w:rPr>
        <w:t>2、属磋商文件规定可能变动的内容在“说明”栏中注明。</w:t>
      </w:r>
    </w:p>
    <w:p w14:paraId="5E7F9269">
      <w:pPr>
        <w:snapToGrid w:val="0"/>
        <w:spacing w:line="360" w:lineRule="auto"/>
        <w:rPr>
          <w:rFonts w:ascii="宋体" w:hAnsi="宋体" w:eastAsia="宋体" w:cs="Times New Roman"/>
          <w:color w:val="auto"/>
          <w:kern w:val="0"/>
          <w:szCs w:val="20"/>
          <w:highlight w:val="none"/>
        </w:rPr>
      </w:pPr>
    </w:p>
    <w:p w14:paraId="593922FD">
      <w:pPr>
        <w:snapToGrid w:val="0"/>
        <w:spacing w:line="360" w:lineRule="auto"/>
        <w:rPr>
          <w:rFonts w:ascii="宋体" w:hAnsi="宋体" w:eastAsia="宋体" w:cs="Times New Roman"/>
          <w:color w:val="auto"/>
          <w:kern w:val="0"/>
          <w:szCs w:val="20"/>
          <w:highlight w:val="none"/>
        </w:rPr>
      </w:pPr>
    </w:p>
    <w:p w14:paraId="50844822">
      <w:pPr>
        <w:snapToGrid w:val="0"/>
        <w:spacing w:line="360" w:lineRule="auto"/>
        <w:rPr>
          <w:rFonts w:ascii="宋体" w:hAnsi="宋体" w:eastAsia="宋体" w:cs="Times New Roman"/>
          <w:color w:val="auto"/>
          <w:kern w:val="0"/>
          <w:szCs w:val="20"/>
          <w:highlight w:val="none"/>
        </w:rPr>
      </w:pPr>
    </w:p>
    <w:p w14:paraId="62E9A92A">
      <w:pPr>
        <w:snapToGrid w:val="0"/>
        <w:spacing w:line="360" w:lineRule="auto"/>
        <w:rPr>
          <w:rFonts w:ascii="宋体" w:hAnsi="宋体" w:eastAsia="宋体" w:cs="Times New Roman"/>
          <w:color w:val="auto"/>
          <w:kern w:val="0"/>
          <w:szCs w:val="20"/>
          <w:highlight w:val="none"/>
        </w:rPr>
      </w:pPr>
    </w:p>
    <w:p w14:paraId="00DE7D52">
      <w:pPr>
        <w:snapToGrid w:val="0"/>
        <w:spacing w:line="360" w:lineRule="auto"/>
        <w:rPr>
          <w:rFonts w:ascii="宋体" w:hAnsi="宋体" w:eastAsia="宋体" w:cs="Times New Roman"/>
          <w:color w:val="auto"/>
          <w:kern w:val="0"/>
          <w:szCs w:val="20"/>
          <w:highlight w:val="none"/>
        </w:rPr>
      </w:pPr>
    </w:p>
    <w:p w14:paraId="49AF8C29">
      <w:pPr>
        <w:snapToGrid w:val="0"/>
        <w:spacing w:line="360" w:lineRule="auto"/>
        <w:rPr>
          <w:rFonts w:ascii="宋体" w:hAnsi="宋体" w:eastAsia="宋体" w:cs="Times New Roman"/>
          <w:color w:val="auto"/>
          <w:kern w:val="0"/>
          <w:szCs w:val="20"/>
          <w:highlight w:val="none"/>
        </w:rPr>
      </w:pPr>
    </w:p>
    <w:p w14:paraId="36F01B5D">
      <w:pPr>
        <w:snapToGrid w:val="0"/>
        <w:spacing w:line="360" w:lineRule="auto"/>
        <w:rPr>
          <w:rFonts w:ascii="宋体" w:hAnsi="宋体" w:eastAsia="宋体" w:cs="Times New Roman"/>
          <w:color w:val="auto"/>
          <w:kern w:val="0"/>
          <w:szCs w:val="20"/>
          <w:highlight w:val="none"/>
        </w:rPr>
      </w:pPr>
    </w:p>
    <w:p w14:paraId="758B5542">
      <w:pPr>
        <w:snapToGrid w:val="0"/>
        <w:spacing w:line="360" w:lineRule="atLeast"/>
        <w:rPr>
          <w:rFonts w:ascii="宋体" w:hAnsi="宋体" w:eastAsia="宋体" w:cs="Times New Roman"/>
          <w:color w:val="auto"/>
          <w:kern w:val="0"/>
          <w:szCs w:val="20"/>
          <w:highlight w:val="none"/>
          <w:u w:val="single"/>
        </w:rPr>
      </w:pPr>
      <w:r>
        <w:rPr>
          <w:rFonts w:ascii="宋体" w:hAnsi="宋体" w:eastAsia="宋体" w:cs="Times New Roman"/>
          <w:color w:val="auto"/>
          <w:kern w:val="0"/>
          <w:szCs w:val="20"/>
          <w:highlight w:val="none"/>
        </w:rPr>
        <w:t>供应商名称(盖单位章)：</w:t>
      </w:r>
      <w:r>
        <w:rPr>
          <w:rFonts w:ascii="宋体" w:hAnsi="宋体" w:eastAsia="宋体" w:cs="Times New Roman"/>
          <w:color w:val="auto"/>
          <w:kern w:val="0"/>
          <w:szCs w:val="20"/>
          <w:highlight w:val="none"/>
          <w:u w:val="single"/>
        </w:rPr>
        <w:t xml:space="preserve">                   </w:t>
      </w:r>
    </w:p>
    <w:p w14:paraId="2481CCF4">
      <w:pPr>
        <w:snapToGrid w:val="0"/>
        <w:spacing w:line="360" w:lineRule="atLeast"/>
        <w:rPr>
          <w:rFonts w:hint="eastAsia" w:ascii="宋体" w:hAnsi="宋体" w:eastAsia="宋体" w:cs="Times New Roman"/>
          <w:color w:val="auto"/>
          <w:kern w:val="0"/>
          <w:szCs w:val="20"/>
          <w:highlight w:val="none"/>
          <w:u w:val="single"/>
        </w:rPr>
      </w:pPr>
      <w:r>
        <w:rPr>
          <w:rFonts w:hint="eastAsia" w:ascii="宋体" w:hAnsi="宋体" w:eastAsia="宋体" w:cs="Times New Roman"/>
          <w:color w:val="auto"/>
          <w:kern w:val="0"/>
          <w:szCs w:val="20"/>
          <w:highlight w:val="none"/>
        </w:rPr>
        <w:t>法定代表人或其委托代理人(签字)：</w:t>
      </w:r>
      <w:r>
        <w:rPr>
          <w:rFonts w:hint="eastAsia" w:ascii="宋体" w:hAnsi="宋体" w:eastAsia="宋体" w:cs="Times New Roman"/>
          <w:color w:val="auto"/>
          <w:kern w:val="0"/>
          <w:szCs w:val="20"/>
          <w:highlight w:val="none"/>
          <w:u w:val="single"/>
        </w:rPr>
        <w:t xml:space="preserve">                   </w:t>
      </w:r>
    </w:p>
    <w:p w14:paraId="7DA74482">
      <w:pPr>
        <w:snapToGrid w:val="0"/>
        <w:spacing w:line="360" w:lineRule="atLeas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 xml:space="preserve">日     期： </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 xml:space="preserve"> 年 </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 xml:space="preserve"> 月 </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 xml:space="preserve"> 日</w:t>
      </w:r>
    </w:p>
    <w:p w14:paraId="485C6722">
      <w:pPr>
        <w:snapToGrid w:val="0"/>
        <w:spacing w:line="360" w:lineRule="auto"/>
        <w:rPr>
          <w:rFonts w:ascii="宋体" w:hAnsi="宋体" w:eastAsia="宋体" w:cs="Times New Roman"/>
          <w:color w:val="auto"/>
          <w:kern w:val="0"/>
          <w:szCs w:val="20"/>
          <w:highlight w:val="none"/>
        </w:rPr>
      </w:pPr>
    </w:p>
    <w:p w14:paraId="5A66BEDC">
      <w:pPr>
        <w:tabs>
          <w:tab w:val="left" w:pos="3600"/>
        </w:tabs>
        <w:snapToGrid w:val="0"/>
        <w:spacing w:line="360" w:lineRule="auto"/>
        <w:jc w:val="center"/>
        <w:rPr>
          <w:rFonts w:ascii="宋体" w:hAnsi="宋体" w:eastAsia="宋体" w:cs="Times New Roman"/>
          <w:b/>
          <w:color w:val="auto"/>
          <w:kern w:val="0"/>
          <w:sz w:val="32"/>
          <w:szCs w:val="20"/>
          <w:highlight w:val="none"/>
        </w:rPr>
      </w:pPr>
    </w:p>
    <w:p w14:paraId="3D2CC347">
      <w:pPr>
        <w:tabs>
          <w:tab w:val="left" w:pos="3600"/>
        </w:tabs>
        <w:snapToGrid w:val="0"/>
        <w:spacing w:line="360" w:lineRule="auto"/>
        <w:jc w:val="center"/>
        <w:rPr>
          <w:rFonts w:ascii="宋体" w:hAnsi="宋体" w:eastAsia="宋体" w:cs="Times New Roman"/>
          <w:b/>
          <w:color w:val="auto"/>
          <w:kern w:val="0"/>
          <w:sz w:val="32"/>
          <w:szCs w:val="20"/>
          <w:highlight w:val="none"/>
        </w:rPr>
      </w:pPr>
    </w:p>
    <w:p w14:paraId="013066B9">
      <w:pPr>
        <w:tabs>
          <w:tab w:val="left" w:pos="3600"/>
        </w:tabs>
        <w:snapToGrid w:val="0"/>
        <w:spacing w:line="360" w:lineRule="auto"/>
        <w:jc w:val="center"/>
        <w:rPr>
          <w:rFonts w:ascii="宋体" w:hAnsi="宋体" w:eastAsia="宋体" w:cs="Times New Roman"/>
          <w:b/>
          <w:color w:val="auto"/>
          <w:kern w:val="0"/>
          <w:sz w:val="32"/>
          <w:szCs w:val="20"/>
          <w:highlight w:val="none"/>
        </w:rPr>
      </w:pPr>
    </w:p>
    <w:p w14:paraId="20C34DCE">
      <w:pPr>
        <w:tabs>
          <w:tab w:val="left" w:pos="3600"/>
        </w:tabs>
        <w:snapToGrid w:val="0"/>
        <w:spacing w:line="360" w:lineRule="auto"/>
        <w:jc w:val="center"/>
        <w:rPr>
          <w:rFonts w:ascii="宋体" w:hAnsi="宋体" w:eastAsia="宋体" w:cs="Times New Roman"/>
          <w:b/>
          <w:color w:val="auto"/>
          <w:kern w:val="0"/>
          <w:sz w:val="32"/>
          <w:szCs w:val="20"/>
          <w:highlight w:val="none"/>
        </w:rPr>
      </w:pPr>
    </w:p>
    <w:p w14:paraId="3E3858D3">
      <w:pPr>
        <w:tabs>
          <w:tab w:val="left" w:pos="3600"/>
        </w:tabs>
        <w:snapToGrid w:val="0"/>
        <w:spacing w:line="360" w:lineRule="auto"/>
        <w:jc w:val="center"/>
        <w:rPr>
          <w:rFonts w:ascii="宋体" w:hAnsi="宋体" w:eastAsia="宋体" w:cs="Times New Roman"/>
          <w:b/>
          <w:color w:val="auto"/>
          <w:kern w:val="0"/>
          <w:sz w:val="32"/>
          <w:szCs w:val="20"/>
          <w:highlight w:val="none"/>
        </w:rPr>
      </w:pPr>
    </w:p>
    <w:p w14:paraId="04461F73">
      <w:pPr>
        <w:spacing w:line="360" w:lineRule="auto"/>
        <w:rPr>
          <w:rFonts w:ascii="宋体" w:hAnsi="宋体" w:eastAsia="宋体" w:cs="Times New Roman"/>
          <w:color w:val="auto"/>
          <w:kern w:val="0"/>
          <w:sz w:val="20"/>
          <w:szCs w:val="20"/>
          <w:highlight w:val="none"/>
        </w:rPr>
      </w:pPr>
    </w:p>
    <w:p w14:paraId="650ADEEA">
      <w:pPr>
        <w:spacing w:line="360" w:lineRule="auto"/>
        <w:rPr>
          <w:rFonts w:ascii="宋体" w:hAnsi="宋体" w:eastAsia="宋体" w:cs="Times New Roman"/>
          <w:color w:val="auto"/>
          <w:kern w:val="0"/>
          <w:sz w:val="20"/>
          <w:szCs w:val="20"/>
          <w:highlight w:val="none"/>
        </w:rPr>
      </w:pPr>
    </w:p>
    <w:p w14:paraId="6ECB2273">
      <w:pPr>
        <w:widowControl w:val="0"/>
        <w:autoSpaceDE w:val="0"/>
        <w:autoSpaceDN w:val="0"/>
        <w:adjustRightInd w:val="0"/>
        <w:spacing w:after="120"/>
        <w:ind w:left="420" w:firstLine="420"/>
        <w:jc w:val="left"/>
        <w:rPr>
          <w:rFonts w:ascii="Calibri" w:hAnsi="Calibri" w:eastAsia="宋体" w:cs="Times New Roman"/>
          <w:color w:val="auto"/>
          <w:sz w:val="20"/>
          <w:highlight w:val="none"/>
          <w:lang w:val="en-US" w:eastAsia="zh-CN" w:bidi="ar-SA"/>
        </w:rPr>
      </w:pPr>
    </w:p>
    <w:p w14:paraId="2BCD95C4">
      <w:pPr>
        <w:tabs>
          <w:tab w:val="left" w:pos="3600"/>
        </w:tabs>
        <w:snapToGrid w:val="0"/>
        <w:spacing w:line="360" w:lineRule="auto"/>
        <w:ind w:right="23"/>
        <w:jc w:val="center"/>
        <w:rPr>
          <w:rFonts w:ascii="宋体" w:hAnsi="宋体" w:eastAsia="宋体" w:cs="Times New Roman"/>
          <w:b/>
          <w:color w:val="auto"/>
          <w:kern w:val="0"/>
          <w:sz w:val="32"/>
          <w:szCs w:val="20"/>
          <w:highlight w:val="none"/>
        </w:rPr>
      </w:pPr>
      <w:r>
        <w:rPr>
          <w:rFonts w:hint="eastAsia" w:ascii="宋体" w:hAnsi="宋体" w:eastAsia="宋体" w:cs="Times New Roman"/>
          <w:b/>
          <w:color w:val="auto"/>
          <w:kern w:val="0"/>
          <w:sz w:val="32"/>
          <w:szCs w:val="20"/>
          <w:highlight w:val="none"/>
        </w:rPr>
        <w:t>六、提供政府采购政策产品等证明材料</w:t>
      </w:r>
    </w:p>
    <w:p w14:paraId="623696E4">
      <w:pPr>
        <w:tabs>
          <w:tab w:val="left" w:pos="3600"/>
        </w:tabs>
        <w:snapToGrid w:val="0"/>
        <w:spacing w:line="360" w:lineRule="auto"/>
        <w:ind w:right="23"/>
        <w:rPr>
          <w:rFonts w:ascii="宋体" w:hAnsi="宋体" w:eastAsia="宋体" w:cs="Times New Roman"/>
          <w:b/>
          <w:color w:val="auto"/>
          <w:kern w:val="0"/>
          <w:sz w:val="32"/>
          <w:szCs w:val="20"/>
          <w:highlight w:val="none"/>
        </w:rPr>
      </w:pPr>
    </w:p>
    <w:p w14:paraId="74B2333B">
      <w:pPr>
        <w:snapToGrid w:val="0"/>
        <w:spacing w:line="360" w:lineRule="auto"/>
        <w:ind w:right="23"/>
        <w:rPr>
          <w:rFonts w:ascii="宋体" w:hAnsi="宋体" w:eastAsia="宋体" w:cs="Times New Roman"/>
          <w:color w:val="auto"/>
          <w:kern w:val="0"/>
          <w:sz w:val="24"/>
          <w:szCs w:val="20"/>
          <w:highlight w:val="none"/>
        </w:rPr>
      </w:pPr>
      <w:r>
        <w:rPr>
          <w:rFonts w:hint="eastAsia" w:ascii="宋体" w:hAnsi="宋体" w:eastAsia="宋体" w:cs="Times New Roman"/>
          <w:color w:val="auto"/>
          <w:kern w:val="0"/>
          <w:sz w:val="24"/>
          <w:szCs w:val="20"/>
          <w:highlight w:val="none"/>
        </w:rPr>
        <w:t>附件</w:t>
      </w:r>
      <w:r>
        <w:rPr>
          <w:rFonts w:hint="eastAsia" w:ascii="宋体" w:hAnsi="宋体" w:cs="Times New Roman"/>
          <w:color w:val="auto"/>
          <w:kern w:val="0"/>
          <w:sz w:val="24"/>
          <w:szCs w:val="20"/>
          <w:highlight w:val="none"/>
          <w:lang w:val="en-US" w:eastAsia="zh-CN"/>
        </w:rPr>
        <w:t>8</w:t>
      </w:r>
      <w:r>
        <w:rPr>
          <w:rFonts w:hint="eastAsia" w:ascii="宋体" w:hAnsi="宋体" w:eastAsia="宋体" w:cs="Times New Roman"/>
          <w:color w:val="auto"/>
          <w:kern w:val="0"/>
          <w:sz w:val="24"/>
          <w:szCs w:val="20"/>
          <w:highlight w:val="none"/>
        </w:rPr>
        <w:t>：</w:t>
      </w:r>
    </w:p>
    <w:p w14:paraId="377F55FD">
      <w:pPr>
        <w:widowControl/>
        <w:snapToGrid w:val="0"/>
        <w:spacing w:line="360" w:lineRule="auto"/>
        <w:jc w:val="center"/>
        <w:rPr>
          <w:rFonts w:ascii="宋体" w:hAnsi="宋体" w:eastAsia="宋体" w:cs="Times New Roman"/>
          <w:b/>
          <w:color w:val="auto"/>
          <w:spacing w:val="6"/>
          <w:kern w:val="0"/>
          <w:sz w:val="28"/>
          <w:szCs w:val="20"/>
          <w:highlight w:val="none"/>
        </w:rPr>
      </w:pPr>
      <w:r>
        <w:rPr>
          <w:rFonts w:hint="eastAsia" w:ascii="宋体" w:hAnsi="宋体" w:eastAsia="宋体" w:cs="Times New Roman"/>
          <w:b/>
          <w:color w:val="auto"/>
          <w:spacing w:val="6"/>
          <w:kern w:val="0"/>
          <w:sz w:val="28"/>
          <w:szCs w:val="20"/>
          <w:highlight w:val="none"/>
        </w:rPr>
        <w:t>中小企业声明函</w:t>
      </w:r>
      <w:r>
        <w:rPr>
          <w:rFonts w:hint="eastAsia" w:ascii="宋体" w:hAnsi="宋体" w:eastAsia="宋体" w:cs="宋体"/>
          <w:b/>
          <w:bCs/>
          <w:color w:val="auto"/>
          <w:kern w:val="0"/>
          <w:sz w:val="27"/>
          <w:szCs w:val="27"/>
          <w:highlight w:val="none"/>
        </w:rPr>
        <w:t>（工程）</w:t>
      </w:r>
    </w:p>
    <w:p w14:paraId="069A7649">
      <w:pPr>
        <w:widowControl/>
        <w:snapToGrid w:val="0"/>
        <w:spacing w:line="360" w:lineRule="auto"/>
        <w:jc w:val="center"/>
        <w:rPr>
          <w:rFonts w:ascii="宋体" w:hAnsi="宋体" w:eastAsia="宋体" w:cs="Times New Roman"/>
          <w:b/>
          <w:color w:val="auto"/>
          <w:spacing w:val="6"/>
          <w:kern w:val="0"/>
          <w:szCs w:val="20"/>
          <w:highlight w:val="none"/>
        </w:rPr>
      </w:pPr>
      <w:r>
        <w:rPr>
          <w:rFonts w:hint="eastAsia" w:ascii="宋体" w:hAnsi="宋体" w:eastAsia="宋体" w:cs="Times New Roman"/>
          <w:b/>
          <w:color w:val="auto"/>
          <w:spacing w:val="6"/>
          <w:kern w:val="0"/>
          <w:szCs w:val="20"/>
          <w:highlight w:val="none"/>
        </w:rPr>
        <w:t>(不满足以下条件的无需填写)</w:t>
      </w:r>
    </w:p>
    <w:p w14:paraId="41CADECE">
      <w:pPr>
        <w:widowControl w:val="0"/>
        <w:ind w:left="2940"/>
        <w:jc w:val="both"/>
        <w:rPr>
          <w:rFonts w:ascii="宋体" w:hAnsi="宋体" w:eastAsia="宋体" w:cs="Times New Roman"/>
          <w:color w:val="auto"/>
          <w:sz w:val="21"/>
          <w:highlight w:val="none"/>
          <w:lang w:val="en-US" w:eastAsia="zh-CN" w:bidi="ar-SA"/>
        </w:rPr>
      </w:pPr>
    </w:p>
    <w:p w14:paraId="05EF8186">
      <w:pPr>
        <w:widowControl/>
        <w:snapToGrid w:val="0"/>
        <w:spacing w:line="420" w:lineRule="exact"/>
        <w:ind w:firstLine="442"/>
        <w:jc w:val="left"/>
        <w:rPr>
          <w:rFonts w:ascii="宋体" w:hAnsi="宋体" w:eastAsia="宋体" w:cs="Times New Roman"/>
          <w:color w:val="auto"/>
          <w:spacing w:val="6"/>
          <w:kern w:val="0"/>
          <w:szCs w:val="22"/>
          <w:highlight w:val="none"/>
        </w:rPr>
      </w:pPr>
      <w:r>
        <w:rPr>
          <w:rFonts w:hint="eastAsia" w:ascii="宋体" w:hAnsi="宋体" w:eastAsia="宋体" w:cs="Times New Roman"/>
          <w:color w:val="auto"/>
          <w:spacing w:val="6"/>
          <w:kern w:val="0"/>
          <w:szCs w:val="22"/>
          <w:highlight w:val="none"/>
        </w:rPr>
        <w:t>本公司（联合体）郑重声明，根据《政府采购促进中小企业发展管理办法》（财库﹝2020﹞46号）的规定，本公司（联合体）参加</w:t>
      </w:r>
      <w:r>
        <w:rPr>
          <w:rFonts w:hint="eastAsia" w:ascii="宋体" w:hAnsi="宋体" w:eastAsia="宋体" w:cs="Times New Roman"/>
          <w:color w:val="auto"/>
          <w:spacing w:val="6"/>
          <w:kern w:val="0"/>
          <w:szCs w:val="22"/>
          <w:highlight w:val="none"/>
          <w:u w:val="single"/>
        </w:rPr>
        <w:t xml:space="preserve">                </w:t>
      </w:r>
      <w:r>
        <w:rPr>
          <w:rFonts w:hint="eastAsia" w:ascii="宋体" w:hAnsi="宋体" w:eastAsia="宋体" w:cs="Times New Roman"/>
          <w:color w:val="auto"/>
          <w:spacing w:val="6"/>
          <w:kern w:val="0"/>
          <w:szCs w:val="22"/>
          <w:highlight w:val="none"/>
        </w:rPr>
        <w:t>（单位名称）的</w:t>
      </w:r>
      <w:r>
        <w:rPr>
          <w:rFonts w:hint="eastAsia" w:ascii="宋体" w:hAnsi="宋体" w:eastAsia="宋体" w:cs="Times New Roman"/>
          <w:color w:val="auto"/>
          <w:spacing w:val="6"/>
          <w:kern w:val="0"/>
          <w:szCs w:val="22"/>
          <w:highlight w:val="none"/>
          <w:u w:val="single"/>
        </w:rPr>
        <w:t xml:space="preserve">              </w:t>
      </w:r>
      <w:r>
        <w:rPr>
          <w:rFonts w:hint="eastAsia" w:ascii="宋体" w:hAnsi="宋体" w:eastAsia="宋体" w:cs="Times New Roman"/>
          <w:color w:val="auto"/>
          <w:spacing w:val="6"/>
          <w:kern w:val="0"/>
          <w:szCs w:val="22"/>
          <w:highlight w:val="none"/>
        </w:rPr>
        <w:t>（项目名称）采购活动，工程的施工单位全部为符合政策要求的中小企业承建。相关企业（含联合体中的中小企业、签订分包意向协议的中小企业）的具体情况如下：</w:t>
      </w:r>
    </w:p>
    <w:p w14:paraId="5DD821F3">
      <w:pPr>
        <w:widowControl/>
        <w:numPr>
          <w:ilvl w:val="0"/>
          <w:numId w:val="2"/>
        </w:numPr>
        <w:snapToGrid w:val="0"/>
        <w:spacing w:line="420" w:lineRule="exact"/>
        <w:ind w:firstLine="426"/>
        <w:jc w:val="left"/>
        <w:rPr>
          <w:rFonts w:ascii="宋体" w:hAnsi="宋体" w:eastAsia="宋体" w:cs="Times New Roman"/>
          <w:color w:val="auto"/>
          <w:spacing w:val="6"/>
          <w:kern w:val="0"/>
          <w:szCs w:val="22"/>
          <w:highlight w:val="none"/>
        </w:rPr>
      </w:pPr>
      <w:r>
        <w:rPr>
          <w:rFonts w:hint="eastAsia" w:ascii="宋体" w:hAnsi="宋体" w:eastAsia="宋体" w:cs="Times New Roman"/>
          <w:color w:val="auto"/>
          <w:spacing w:val="6"/>
          <w:kern w:val="0"/>
          <w:szCs w:val="22"/>
          <w:highlight w:val="none"/>
          <w:u w:val="single"/>
        </w:rPr>
        <w:t xml:space="preserve">            </w:t>
      </w:r>
      <w:r>
        <w:rPr>
          <w:rFonts w:hint="eastAsia" w:ascii="宋体" w:hAnsi="宋体" w:eastAsia="宋体" w:cs="Times New Roman"/>
          <w:color w:val="auto"/>
          <w:spacing w:val="6"/>
          <w:kern w:val="0"/>
          <w:szCs w:val="22"/>
          <w:highlight w:val="none"/>
        </w:rPr>
        <w:t>（标的名称），属于</w:t>
      </w:r>
      <w:r>
        <w:rPr>
          <w:rFonts w:hint="eastAsia" w:ascii="宋体" w:hAnsi="宋体" w:eastAsia="宋体" w:cs="Times New Roman"/>
          <w:b/>
          <w:bCs/>
          <w:color w:val="auto"/>
          <w:spacing w:val="6"/>
          <w:kern w:val="0"/>
          <w:szCs w:val="22"/>
          <w:highlight w:val="none"/>
          <w:u w:val="single"/>
        </w:rPr>
        <w:t>建筑业</w:t>
      </w:r>
      <w:r>
        <w:rPr>
          <w:rFonts w:hint="eastAsia" w:ascii="宋体" w:hAnsi="宋体" w:eastAsia="宋体" w:cs="Times New Roman"/>
          <w:color w:val="auto"/>
          <w:spacing w:val="6"/>
          <w:kern w:val="0"/>
          <w:szCs w:val="22"/>
          <w:highlight w:val="none"/>
        </w:rPr>
        <w:t>（采购文件中明确的所属行业）；承建企业为</w:t>
      </w:r>
      <w:r>
        <w:rPr>
          <w:rFonts w:hint="eastAsia" w:ascii="宋体" w:hAnsi="宋体" w:eastAsia="宋体" w:cs="Times New Roman"/>
          <w:color w:val="auto"/>
          <w:spacing w:val="6"/>
          <w:kern w:val="0"/>
          <w:szCs w:val="22"/>
          <w:highlight w:val="none"/>
          <w:u w:val="single"/>
        </w:rPr>
        <w:t xml:space="preserve">                </w:t>
      </w:r>
      <w:r>
        <w:rPr>
          <w:rFonts w:hint="eastAsia" w:ascii="宋体" w:hAnsi="宋体" w:eastAsia="宋体" w:cs="Times New Roman"/>
          <w:color w:val="auto"/>
          <w:spacing w:val="6"/>
          <w:kern w:val="0"/>
          <w:szCs w:val="22"/>
          <w:highlight w:val="none"/>
        </w:rPr>
        <w:t>（企业名称），从业人员</w:t>
      </w:r>
      <w:r>
        <w:rPr>
          <w:rFonts w:hint="eastAsia" w:ascii="宋体" w:hAnsi="宋体" w:eastAsia="宋体" w:cs="Times New Roman"/>
          <w:color w:val="auto"/>
          <w:spacing w:val="6"/>
          <w:kern w:val="0"/>
          <w:szCs w:val="22"/>
          <w:highlight w:val="none"/>
          <w:u w:val="single"/>
        </w:rPr>
        <w:t xml:space="preserve">    </w:t>
      </w:r>
      <w:r>
        <w:rPr>
          <w:rFonts w:hint="eastAsia" w:ascii="宋体" w:hAnsi="宋体" w:eastAsia="宋体" w:cs="Times New Roman"/>
          <w:color w:val="auto"/>
          <w:spacing w:val="6"/>
          <w:kern w:val="0"/>
          <w:szCs w:val="22"/>
          <w:highlight w:val="none"/>
        </w:rPr>
        <w:t>人，营业收入为</w:t>
      </w:r>
      <w:r>
        <w:rPr>
          <w:rFonts w:hint="eastAsia" w:ascii="宋体" w:hAnsi="宋体" w:eastAsia="宋体" w:cs="Times New Roman"/>
          <w:color w:val="auto"/>
          <w:spacing w:val="6"/>
          <w:kern w:val="0"/>
          <w:szCs w:val="22"/>
          <w:highlight w:val="none"/>
          <w:u w:val="single"/>
        </w:rPr>
        <w:t xml:space="preserve">     </w:t>
      </w:r>
      <w:r>
        <w:rPr>
          <w:rFonts w:hint="eastAsia" w:ascii="宋体" w:hAnsi="宋体" w:eastAsia="宋体" w:cs="Times New Roman"/>
          <w:color w:val="auto"/>
          <w:spacing w:val="6"/>
          <w:kern w:val="0"/>
          <w:szCs w:val="22"/>
          <w:highlight w:val="none"/>
        </w:rPr>
        <w:t>万元，资产总额为</w:t>
      </w:r>
      <w:r>
        <w:rPr>
          <w:rFonts w:hint="eastAsia" w:ascii="宋体" w:hAnsi="宋体" w:eastAsia="宋体" w:cs="Times New Roman"/>
          <w:color w:val="auto"/>
          <w:spacing w:val="6"/>
          <w:kern w:val="0"/>
          <w:szCs w:val="22"/>
          <w:highlight w:val="none"/>
          <w:u w:val="single"/>
        </w:rPr>
        <w:t xml:space="preserve">        </w:t>
      </w:r>
      <w:r>
        <w:rPr>
          <w:rFonts w:hint="eastAsia" w:ascii="宋体" w:hAnsi="宋体" w:eastAsia="宋体" w:cs="Times New Roman"/>
          <w:color w:val="auto"/>
          <w:spacing w:val="6"/>
          <w:kern w:val="0"/>
          <w:szCs w:val="22"/>
          <w:highlight w:val="none"/>
        </w:rPr>
        <w:t>万元，属于</w:t>
      </w:r>
      <w:r>
        <w:rPr>
          <w:rFonts w:hint="eastAsia" w:ascii="宋体" w:hAnsi="宋体" w:eastAsia="宋体" w:cs="Times New Roman"/>
          <w:color w:val="auto"/>
          <w:spacing w:val="6"/>
          <w:kern w:val="0"/>
          <w:szCs w:val="22"/>
          <w:highlight w:val="none"/>
          <w:u w:val="single"/>
        </w:rPr>
        <w:t xml:space="preserve">       </w:t>
      </w:r>
      <w:r>
        <w:rPr>
          <w:rFonts w:hint="eastAsia" w:ascii="宋体" w:hAnsi="宋体" w:eastAsia="宋体" w:cs="Times New Roman"/>
          <w:color w:val="auto"/>
          <w:spacing w:val="6"/>
          <w:kern w:val="0"/>
          <w:szCs w:val="22"/>
          <w:highlight w:val="none"/>
        </w:rPr>
        <w:t>（中型企业、小型企业、微型企业）；</w:t>
      </w:r>
    </w:p>
    <w:p w14:paraId="7E331881">
      <w:pPr>
        <w:widowControl/>
        <w:numPr>
          <w:ilvl w:val="0"/>
          <w:numId w:val="2"/>
        </w:numPr>
        <w:snapToGrid w:val="0"/>
        <w:spacing w:line="420" w:lineRule="exact"/>
        <w:ind w:firstLine="442"/>
        <w:jc w:val="left"/>
        <w:rPr>
          <w:rFonts w:ascii="宋体" w:hAnsi="宋体" w:eastAsia="宋体" w:cs="Times New Roman"/>
          <w:color w:val="auto"/>
          <w:spacing w:val="6"/>
          <w:kern w:val="0"/>
          <w:szCs w:val="22"/>
          <w:highlight w:val="none"/>
        </w:rPr>
      </w:pPr>
      <w:r>
        <w:rPr>
          <w:rFonts w:hint="eastAsia" w:ascii="宋体" w:hAnsi="宋体" w:eastAsia="宋体" w:cs="Times New Roman"/>
          <w:color w:val="auto"/>
          <w:spacing w:val="6"/>
          <w:kern w:val="0"/>
          <w:szCs w:val="22"/>
          <w:highlight w:val="none"/>
          <w:u w:val="single"/>
        </w:rPr>
        <w:t xml:space="preserve">            </w:t>
      </w:r>
      <w:r>
        <w:rPr>
          <w:rFonts w:hint="eastAsia" w:ascii="宋体" w:hAnsi="宋体" w:eastAsia="宋体" w:cs="Times New Roman"/>
          <w:color w:val="auto"/>
          <w:spacing w:val="6"/>
          <w:kern w:val="0"/>
          <w:szCs w:val="22"/>
          <w:highlight w:val="none"/>
        </w:rPr>
        <w:t>（标的名称），属于</w:t>
      </w:r>
      <w:r>
        <w:rPr>
          <w:rFonts w:hint="eastAsia" w:ascii="宋体" w:hAnsi="宋体" w:eastAsia="宋体" w:cs="Times New Roman"/>
          <w:b/>
          <w:bCs/>
          <w:color w:val="auto"/>
          <w:spacing w:val="6"/>
          <w:kern w:val="0"/>
          <w:szCs w:val="22"/>
          <w:highlight w:val="none"/>
          <w:u w:val="single"/>
        </w:rPr>
        <w:t>建筑业</w:t>
      </w:r>
      <w:r>
        <w:rPr>
          <w:rFonts w:hint="eastAsia" w:ascii="宋体" w:hAnsi="宋体" w:eastAsia="宋体" w:cs="Times New Roman"/>
          <w:color w:val="auto"/>
          <w:spacing w:val="6"/>
          <w:kern w:val="0"/>
          <w:szCs w:val="22"/>
          <w:highlight w:val="none"/>
        </w:rPr>
        <w:t>（采购文件中明确的所属行业）；承建企业为</w:t>
      </w:r>
      <w:r>
        <w:rPr>
          <w:rFonts w:hint="eastAsia" w:ascii="宋体" w:hAnsi="宋体" w:eastAsia="宋体" w:cs="Times New Roman"/>
          <w:color w:val="auto"/>
          <w:spacing w:val="6"/>
          <w:kern w:val="0"/>
          <w:szCs w:val="22"/>
          <w:highlight w:val="none"/>
          <w:u w:val="single"/>
        </w:rPr>
        <w:t xml:space="preserve">                </w:t>
      </w:r>
      <w:r>
        <w:rPr>
          <w:rFonts w:hint="eastAsia" w:ascii="宋体" w:hAnsi="宋体" w:eastAsia="宋体" w:cs="Times New Roman"/>
          <w:color w:val="auto"/>
          <w:spacing w:val="6"/>
          <w:kern w:val="0"/>
          <w:szCs w:val="22"/>
          <w:highlight w:val="none"/>
        </w:rPr>
        <w:t>（企业名称），从业人员</w:t>
      </w:r>
      <w:r>
        <w:rPr>
          <w:rFonts w:hint="eastAsia" w:ascii="宋体" w:hAnsi="宋体" w:eastAsia="宋体" w:cs="Times New Roman"/>
          <w:color w:val="auto"/>
          <w:spacing w:val="6"/>
          <w:kern w:val="0"/>
          <w:szCs w:val="22"/>
          <w:highlight w:val="none"/>
          <w:u w:val="single"/>
        </w:rPr>
        <w:t xml:space="preserve">    </w:t>
      </w:r>
      <w:r>
        <w:rPr>
          <w:rFonts w:hint="eastAsia" w:ascii="宋体" w:hAnsi="宋体" w:eastAsia="宋体" w:cs="Times New Roman"/>
          <w:color w:val="auto"/>
          <w:spacing w:val="6"/>
          <w:kern w:val="0"/>
          <w:szCs w:val="22"/>
          <w:highlight w:val="none"/>
        </w:rPr>
        <w:t>人，营业收入为</w:t>
      </w:r>
      <w:r>
        <w:rPr>
          <w:rFonts w:hint="eastAsia" w:ascii="宋体" w:hAnsi="宋体" w:eastAsia="宋体" w:cs="Times New Roman"/>
          <w:color w:val="auto"/>
          <w:spacing w:val="6"/>
          <w:kern w:val="0"/>
          <w:szCs w:val="22"/>
          <w:highlight w:val="none"/>
          <w:u w:val="single"/>
        </w:rPr>
        <w:t xml:space="preserve">    </w:t>
      </w:r>
      <w:r>
        <w:rPr>
          <w:rFonts w:hint="eastAsia" w:ascii="宋体" w:hAnsi="宋体" w:eastAsia="宋体" w:cs="Times New Roman"/>
          <w:color w:val="auto"/>
          <w:spacing w:val="6"/>
          <w:kern w:val="0"/>
          <w:szCs w:val="22"/>
          <w:highlight w:val="none"/>
        </w:rPr>
        <w:t xml:space="preserve"> 万元，资产总额为</w:t>
      </w:r>
      <w:r>
        <w:rPr>
          <w:rFonts w:hint="eastAsia" w:ascii="宋体" w:hAnsi="宋体" w:eastAsia="宋体" w:cs="Times New Roman"/>
          <w:color w:val="auto"/>
          <w:spacing w:val="6"/>
          <w:kern w:val="0"/>
          <w:szCs w:val="22"/>
          <w:highlight w:val="none"/>
          <w:u w:val="single"/>
        </w:rPr>
        <w:t xml:space="preserve">        </w:t>
      </w:r>
      <w:r>
        <w:rPr>
          <w:rFonts w:hint="eastAsia" w:ascii="宋体" w:hAnsi="宋体" w:eastAsia="宋体" w:cs="Times New Roman"/>
          <w:color w:val="auto"/>
          <w:spacing w:val="6"/>
          <w:kern w:val="0"/>
          <w:szCs w:val="22"/>
          <w:highlight w:val="none"/>
        </w:rPr>
        <w:t>万元，属于</w:t>
      </w:r>
      <w:r>
        <w:rPr>
          <w:rFonts w:hint="eastAsia" w:ascii="宋体" w:hAnsi="宋体" w:eastAsia="宋体" w:cs="Times New Roman"/>
          <w:color w:val="auto"/>
          <w:spacing w:val="6"/>
          <w:kern w:val="0"/>
          <w:szCs w:val="22"/>
          <w:highlight w:val="none"/>
          <w:u w:val="single"/>
        </w:rPr>
        <w:t xml:space="preserve">       </w:t>
      </w:r>
      <w:r>
        <w:rPr>
          <w:rFonts w:hint="eastAsia" w:ascii="宋体" w:hAnsi="宋体" w:eastAsia="宋体" w:cs="Times New Roman"/>
          <w:color w:val="auto"/>
          <w:spacing w:val="6"/>
          <w:kern w:val="0"/>
          <w:szCs w:val="22"/>
          <w:highlight w:val="none"/>
        </w:rPr>
        <w:t>（中型企业、小型企业、微型企业）；</w:t>
      </w:r>
    </w:p>
    <w:p w14:paraId="3B630754">
      <w:pPr>
        <w:widowControl/>
        <w:snapToGrid w:val="0"/>
        <w:spacing w:line="420" w:lineRule="exact"/>
        <w:ind w:left="442"/>
        <w:jc w:val="left"/>
        <w:rPr>
          <w:rFonts w:ascii="宋体" w:hAnsi="宋体" w:eastAsia="宋体" w:cs="Times New Roman"/>
          <w:color w:val="auto"/>
          <w:spacing w:val="6"/>
          <w:kern w:val="0"/>
          <w:szCs w:val="22"/>
          <w:highlight w:val="none"/>
        </w:rPr>
      </w:pPr>
      <w:r>
        <w:rPr>
          <w:rFonts w:hint="eastAsia" w:ascii="宋体" w:hAnsi="宋体" w:eastAsia="宋体" w:cs="Times New Roman"/>
          <w:color w:val="auto"/>
          <w:spacing w:val="6"/>
          <w:kern w:val="0"/>
          <w:szCs w:val="22"/>
          <w:highlight w:val="none"/>
        </w:rPr>
        <w:t>……</w:t>
      </w:r>
    </w:p>
    <w:p w14:paraId="7784A932">
      <w:pPr>
        <w:widowControl/>
        <w:snapToGrid w:val="0"/>
        <w:spacing w:line="420" w:lineRule="exact"/>
        <w:ind w:firstLine="444" w:firstLineChars="200"/>
        <w:jc w:val="left"/>
        <w:rPr>
          <w:rFonts w:ascii="宋体" w:hAnsi="宋体" w:eastAsia="宋体" w:cs="Times New Roman"/>
          <w:color w:val="auto"/>
          <w:spacing w:val="6"/>
          <w:kern w:val="0"/>
          <w:szCs w:val="22"/>
          <w:highlight w:val="none"/>
        </w:rPr>
      </w:pPr>
      <w:r>
        <w:rPr>
          <w:rFonts w:hint="eastAsia" w:ascii="宋体" w:hAnsi="宋体" w:eastAsia="宋体" w:cs="Times New Roman"/>
          <w:color w:val="auto"/>
          <w:spacing w:val="6"/>
          <w:kern w:val="0"/>
          <w:szCs w:val="22"/>
          <w:highlight w:val="none"/>
        </w:rPr>
        <w:t>以上企业，不属于大企业的分支机构，不存在控股股东为大企业的情形，也不存在与大企业的负责人为同一人的情形。</w:t>
      </w:r>
    </w:p>
    <w:p w14:paraId="260BE222">
      <w:pPr>
        <w:widowControl/>
        <w:snapToGrid w:val="0"/>
        <w:spacing w:line="420" w:lineRule="exact"/>
        <w:ind w:firstLine="446" w:firstLineChars="200"/>
        <w:jc w:val="left"/>
        <w:rPr>
          <w:rFonts w:ascii="宋体" w:hAnsi="宋体" w:eastAsia="宋体" w:cs="Times New Roman"/>
          <w:b/>
          <w:color w:val="auto"/>
          <w:spacing w:val="6"/>
          <w:kern w:val="0"/>
          <w:szCs w:val="22"/>
          <w:highlight w:val="none"/>
        </w:rPr>
      </w:pPr>
      <w:r>
        <w:rPr>
          <w:rFonts w:hint="eastAsia" w:ascii="宋体" w:hAnsi="宋体" w:eastAsia="宋体" w:cs="Times New Roman"/>
          <w:b/>
          <w:color w:val="auto"/>
          <w:spacing w:val="6"/>
          <w:kern w:val="0"/>
          <w:szCs w:val="22"/>
          <w:highlight w:val="none"/>
        </w:rPr>
        <w:t>本企业对上述声明内容的真实性负责。如有虚假，将依法承担相应责任。</w:t>
      </w:r>
    </w:p>
    <w:p w14:paraId="6C61D408">
      <w:pPr>
        <w:widowControl/>
        <w:snapToGrid w:val="0"/>
        <w:spacing w:line="500" w:lineRule="exact"/>
        <w:ind w:left="5678" w:leftChars="2704"/>
        <w:jc w:val="left"/>
        <w:rPr>
          <w:rFonts w:ascii="宋体" w:hAnsi="宋体" w:eastAsia="宋体" w:cs="Times New Roman"/>
          <w:color w:val="auto"/>
          <w:spacing w:val="6"/>
          <w:kern w:val="0"/>
          <w:szCs w:val="22"/>
          <w:highlight w:val="none"/>
        </w:rPr>
      </w:pPr>
      <w:r>
        <w:rPr>
          <w:rFonts w:hint="eastAsia" w:ascii="宋体" w:hAnsi="宋体" w:eastAsia="宋体" w:cs="Times New Roman"/>
          <w:color w:val="auto"/>
          <w:spacing w:val="6"/>
          <w:kern w:val="0"/>
          <w:szCs w:val="22"/>
          <w:highlight w:val="none"/>
        </w:rPr>
        <w:t>供应商名称（盖章）：</w:t>
      </w:r>
    </w:p>
    <w:p w14:paraId="4D2CF7A6">
      <w:pPr>
        <w:widowControl/>
        <w:snapToGrid w:val="0"/>
        <w:spacing w:line="500" w:lineRule="exact"/>
        <w:ind w:left="5678" w:leftChars="2704"/>
        <w:jc w:val="left"/>
        <w:rPr>
          <w:rFonts w:ascii="宋体" w:hAnsi="宋体" w:eastAsia="宋体" w:cs="Times New Roman"/>
          <w:color w:val="auto"/>
          <w:spacing w:val="6"/>
          <w:kern w:val="0"/>
          <w:szCs w:val="22"/>
          <w:highlight w:val="none"/>
        </w:rPr>
      </w:pPr>
      <w:r>
        <w:rPr>
          <w:rFonts w:hint="eastAsia" w:ascii="宋体" w:hAnsi="宋体" w:eastAsia="宋体" w:cs="Times New Roman"/>
          <w:color w:val="auto"/>
          <w:spacing w:val="6"/>
          <w:kern w:val="0"/>
          <w:szCs w:val="22"/>
          <w:highlight w:val="none"/>
        </w:rPr>
        <w:t xml:space="preserve">日期：  年  月   日 </w:t>
      </w:r>
    </w:p>
    <w:p w14:paraId="1D54D460">
      <w:pPr>
        <w:wordWrap w:val="0"/>
        <w:adjustRightInd w:val="0"/>
        <w:snapToGrid w:val="0"/>
        <w:spacing w:line="360" w:lineRule="auto"/>
        <w:ind w:firstLine="444" w:firstLineChars="200"/>
        <w:rPr>
          <w:rFonts w:ascii="宋体" w:hAnsi="宋体" w:eastAsia="宋体" w:cs="Times New Roman"/>
          <w:color w:val="auto"/>
          <w:spacing w:val="6"/>
          <w:kern w:val="2"/>
          <w:szCs w:val="21"/>
          <w:highlight w:val="none"/>
        </w:rPr>
      </w:pPr>
    </w:p>
    <w:p w14:paraId="04F72C52">
      <w:pPr>
        <w:widowControl w:val="0"/>
        <w:spacing w:line="320" w:lineRule="exact"/>
        <w:ind w:left="0"/>
        <w:jc w:val="both"/>
        <w:rPr>
          <w:rFonts w:ascii="宋体" w:hAnsi="宋体" w:eastAsia="宋体" w:cs="Times New Roman"/>
          <w:b/>
          <w:color w:val="auto"/>
          <w:sz w:val="21"/>
          <w:szCs w:val="21"/>
          <w:highlight w:val="none"/>
          <w:lang w:val="en-US" w:eastAsia="zh-CN" w:bidi="ar-SA"/>
        </w:rPr>
      </w:pPr>
      <w:r>
        <w:rPr>
          <w:rFonts w:hint="eastAsia" w:ascii="宋体" w:hAnsi="宋体" w:eastAsia="宋体" w:cs="Times New Roman"/>
          <w:b/>
          <w:color w:val="auto"/>
          <w:sz w:val="21"/>
          <w:szCs w:val="21"/>
          <w:highlight w:val="none"/>
          <w:lang w:val="en-US" w:eastAsia="zh-CN" w:bidi="ar-SA"/>
        </w:rPr>
        <w:t>说明：1、填写前请认真阅读《工业和信息化部、国家统计局、国家发展和改革委员会、财政部关于印发中小企业划型标准规定的通知》（工信部联企业[2011]300号）和《财政部 工业和信息化部关于印发＜政府采购促进中小企业发展管理办法＞的通知》(财库【2020】46号))相关规定。</w:t>
      </w:r>
    </w:p>
    <w:p w14:paraId="41E4021E">
      <w:pPr>
        <w:widowControl/>
        <w:snapToGrid w:val="0"/>
        <w:spacing w:line="320" w:lineRule="exact"/>
        <w:jc w:val="left"/>
        <w:rPr>
          <w:rFonts w:ascii="宋体" w:hAnsi="宋体" w:eastAsia="宋体" w:cs="Times New Roman"/>
          <w:b/>
          <w:color w:val="auto"/>
          <w:spacing w:val="6"/>
          <w:kern w:val="0"/>
          <w:szCs w:val="21"/>
          <w:highlight w:val="none"/>
        </w:rPr>
      </w:pPr>
      <w:r>
        <w:rPr>
          <w:rFonts w:hint="eastAsia" w:ascii="宋体" w:hAnsi="宋体" w:eastAsia="宋体" w:cs="Times New Roman"/>
          <w:b/>
          <w:color w:val="auto"/>
          <w:spacing w:val="6"/>
          <w:kern w:val="0"/>
          <w:szCs w:val="21"/>
          <w:highlight w:val="none"/>
        </w:rPr>
        <w:t>2、从业人员、营业收入、资产总额填报上一年度数据，无上一年度数据的新成立企业可不填报。</w:t>
      </w:r>
    </w:p>
    <w:p w14:paraId="0E72B7D3">
      <w:pPr>
        <w:rPr>
          <w:rFonts w:ascii="宋体" w:hAnsi="宋体" w:eastAsia="宋体" w:cs="Times New Roman"/>
          <w:b/>
          <w:color w:val="auto"/>
          <w:kern w:val="0"/>
          <w:szCs w:val="21"/>
          <w:highlight w:val="none"/>
        </w:rPr>
      </w:pPr>
      <w:r>
        <w:rPr>
          <w:rFonts w:hint="eastAsia" w:ascii="宋体" w:hAnsi="宋体" w:eastAsia="宋体" w:cs="Times New Roman"/>
          <w:b/>
          <w:color w:val="auto"/>
          <w:kern w:val="0"/>
          <w:szCs w:val="21"/>
          <w:highlight w:val="none"/>
        </w:rPr>
        <w:br w:type="page"/>
      </w:r>
    </w:p>
    <w:p w14:paraId="4365EEED">
      <w:pPr>
        <w:widowControl/>
        <w:wordWrap w:val="0"/>
        <w:spacing w:before="100" w:beforeAutospacing="1" w:after="100" w:afterAutospacing="1" w:line="360" w:lineRule="auto"/>
        <w:jc w:val="left"/>
        <w:rPr>
          <w:rFonts w:ascii="宋体" w:hAnsi="宋体" w:eastAsia="宋体" w:cs="Times New Roman"/>
          <w:color w:val="auto"/>
          <w:kern w:val="0"/>
          <w:sz w:val="30"/>
          <w:szCs w:val="30"/>
          <w:highlight w:val="none"/>
        </w:rPr>
      </w:pPr>
      <w:r>
        <w:rPr>
          <w:rFonts w:hint="eastAsia" w:ascii="宋体" w:hAnsi="宋体" w:eastAsia="宋体" w:cs="Times New Roman"/>
          <w:color w:val="auto"/>
          <w:kern w:val="0"/>
          <w:sz w:val="30"/>
          <w:szCs w:val="30"/>
          <w:highlight w:val="none"/>
        </w:rPr>
        <w:t>附件</w:t>
      </w:r>
      <w:r>
        <w:rPr>
          <w:rFonts w:hint="eastAsia" w:ascii="宋体" w:hAnsi="宋体" w:cs="Times New Roman"/>
          <w:color w:val="auto"/>
          <w:kern w:val="0"/>
          <w:sz w:val="30"/>
          <w:szCs w:val="30"/>
          <w:highlight w:val="none"/>
          <w:lang w:val="en-US" w:eastAsia="zh-CN"/>
        </w:rPr>
        <w:t>8</w:t>
      </w:r>
      <w:r>
        <w:rPr>
          <w:rFonts w:hint="eastAsia" w:ascii="宋体" w:hAnsi="宋体" w:eastAsia="宋体" w:cs="Times New Roman"/>
          <w:color w:val="auto"/>
          <w:kern w:val="0"/>
          <w:sz w:val="30"/>
          <w:szCs w:val="30"/>
          <w:highlight w:val="none"/>
        </w:rPr>
        <w:t>-1</w:t>
      </w:r>
    </w:p>
    <w:p w14:paraId="1CAA0D7A">
      <w:pPr>
        <w:adjustRightInd w:val="0"/>
        <w:snapToGrid w:val="0"/>
        <w:spacing w:before="120" w:beforeLines="50" w:after="120" w:afterLines="50" w:line="700" w:lineRule="exact"/>
        <w:jc w:val="center"/>
        <w:outlineLvl w:val="3"/>
        <w:rPr>
          <w:rFonts w:ascii="宋体" w:hAnsi="宋体" w:eastAsia="宋体" w:cs="Times New Roman"/>
          <w:b/>
          <w:color w:val="auto"/>
          <w:kern w:val="0"/>
          <w:sz w:val="32"/>
          <w:szCs w:val="32"/>
          <w:highlight w:val="none"/>
        </w:rPr>
      </w:pPr>
      <w:r>
        <w:rPr>
          <w:rFonts w:hint="eastAsia" w:ascii="宋体" w:hAnsi="宋体" w:eastAsia="宋体" w:cs="Times New Roman"/>
          <w:b/>
          <w:color w:val="auto"/>
          <w:kern w:val="0"/>
          <w:sz w:val="32"/>
          <w:szCs w:val="32"/>
          <w:highlight w:val="none"/>
        </w:rPr>
        <w:t>残疾人福利性单位声明函</w:t>
      </w:r>
    </w:p>
    <w:p w14:paraId="396704A6">
      <w:pPr>
        <w:widowControl/>
        <w:adjustRightInd w:val="0"/>
        <w:snapToGrid w:val="0"/>
        <w:spacing w:before="120" w:beforeLines="50" w:after="120" w:afterLines="50" w:line="600" w:lineRule="exact"/>
        <w:ind w:firstLine="506" w:firstLineChars="200"/>
        <w:jc w:val="center"/>
        <w:rPr>
          <w:rFonts w:ascii="宋体" w:hAnsi="宋体" w:eastAsia="宋体" w:cs="宋体"/>
          <w:b/>
          <w:bCs/>
          <w:color w:val="auto"/>
          <w:spacing w:val="6"/>
          <w:kern w:val="0"/>
          <w:sz w:val="24"/>
          <w:szCs w:val="20"/>
          <w:highlight w:val="none"/>
        </w:rPr>
      </w:pPr>
      <w:r>
        <w:rPr>
          <w:rFonts w:hint="eastAsia" w:ascii="宋体" w:hAnsi="宋体" w:eastAsia="宋体" w:cs="宋体"/>
          <w:b/>
          <w:bCs/>
          <w:color w:val="auto"/>
          <w:spacing w:val="6"/>
          <w:kern w:val="0"/>
          <w:sz w:val="24"/>
          <w:szCs w:val="20"/>
          <w:highlight w:val="none"/>
        </w:rPr>
        <w:t>(不属于残疾人福利性单位的无需填写)</w:t>
      </w:r>
    </w:p>
    <w:p w14:paraId="1BEC7A73">
      <w:pPr>
        <w:adjustRightInd w:val="0"/>
        <w:snapToGrid w:val="0"/>
        <w:spacing w:line="360" w:lineRule="auto"/>
        <w:ind w:firstLine="444" w:firstLineChars="200"/>
        <w:rPr>
          <w:rFonts w:ascii="宋体" w:hAnsi="宋体" w:eastAsia="宋体" w:cs="Times New Roman"/>
          <w:color w:val="auto"/>
          <w:spacing w:val="6"/>
          <w:kern w:val="0"/>
          <w:szCs w:val="21"/>
          <w:highlight w:val="none"/>
        </w:rPr>
      </w:pPr>
    </w:p>
    <w:p w14:paraId="2F62897E">
      <w:pPr>
        <w:adjustRightInd w:val="0"/>
        <w:snapToGrid w:val="0"/>
        <w:spacing w:line="600" w:lineRule="exact"/>
        <w:ind w:firstLine="444" w:firstLineChars="200"/>
        <w:rPr>
          <w:rFonts w:ascii="宋体" w:hAnsi="宋体" w:eastAsia="宋体" w:cs="Times New Roman"/>
          <w:color w:val="auto"/>
          <w:spacing w:val="6"/>
          <w:kern w:val="0"/>
          <w:szCs w:val="21"/>
          <w:highlight w:val="none"/>
        </w:rPr>
      </w:pPr>
      <w:r>
        <w:rPr>
          <w:rFonts w:hint="eastAsia" w:ascii="宋体" w:hAnsi="宋体" w:eastAsia="宋体" w:cs="Times New Roman"/>
          <w:color w:val="auto"/>
          <w:spacing w:val="6"/>
          <w:kern w:val="0"/>
          <w:szCs w:val="21"/>
          <w:highlight w:val="none"/>
        </w:rPr>
        <w:t>本单位郑重声明，根据《财政部 民政部 中国残疾人联合会关于促进残疾人就业政府采购政策的通知》（财库</w:t>
      </w:r>
      <w:r>
        <w:rPr>
          <w:rFonts w:hint="eastAsia" w:ascii="宋体" w:hAnsi="宋体" w:eastAsia="宋体" w:cs="Times New Roman"/>
          <w:color w:val="auto"/>
          <w:kern w:val="0"/>
          <w:szCs w:val="21"/>
          <w:highlight w:val="none"/>
        </w:rPr>
        <w:t>〔2017〕141</w:t>
      </w:r>
      <w:r>
        <w:rPr>
          <w:rFonts w:hint="eastAsia" w:ascii="宋体" w:hAnsi="宋体" w:eastAsia="宋体" w:cs="Times New Roman"/>
          <w:color w:val="auto"/>
          <w:spacing w:val="6"/>
          <w:kern w:val="0"/>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52B339F">
      <w:pPr>
        <w:adjustRightInd w:val="0"/>
        <w:snapToGrid w:val="0"/>
        <w:spacing w:line="600" w:lineRule="exact"/>
        <w:ind w:firstLine="444" w:firstLineChars="200"/>
        <w:rPr>
          <w:rFonts w:ascii="宋体" w:hAnsi="宋体" w:eastAsia="宋体" w:cs="Times New Roman"/>
          <w:color w:val="auto"/>
          <w:spacing w:val="6"/>
          <w:kern w:val="0"/>
          <w:szCs w:val="21"/>
          <w:highlight w:val="none"/>
        </w:rPr>
      </w:pPr>
      <w:r>
        <w:rPr>
          <w:rFonts w:hint="eastAsia" w:ascii="宋体" w:hAnsi="宋体" w:eastAsia="宋体" w:cs="Times New Roman"/>
          <w:color w:val="auto"/>
          <w:spacing w:val="6"/>
          <w:kern w:val="0"/>
          <w:szCs w:val="21"/>
          <w:highlight w:val="none"/>
        </w:rPr>
        <w:t>本单位对上述声明的真实性负责。如有虚假，将依法承担相应责任。</w:t>
      </w:r>
    </w:p>
    <w:p w14:paraId="41BA1478">
      <w:pPr>
        <w:adjustRightInd w:val="0"/>
        <w:snapToGrid w:val="0"/>
        <w:spacing w:line="600" w:lineRule="exact"/>
        <w:ind w:firstLine="444" w:firstLineChars="200"/>
        <w:rPr>
          <w:rFonts w:ascii="宋体" w:hAnsi="宋体" w:eastAsia="宋体" w:cs="Times New Roman"/>
          <w:color w:val="auto"/>
          <w:spacing w:val="6"/>
          <w:kern w:val="0"/>
          <w:szCs w:val="21"/>
          <w:highlight w:val="none"/>
        </w:rPr>
      </w:pPr>
    </w:p>
    <w:p w14:paraId="38E02072">
      <w:pPr>
        <w:adjustRightInd w:val="0"/>
        <w:snapToGrid w:val="0"/>
        <w:spacing w:line="600" w:lineRule="exact"/>
        <w:ind w:firstLine="444" w:firstLineChars="200"/>
        <w:rPr>
          <w:rFonts w:ascii="宋体" w:hAnsi="宋体" w:eastAsia="宋体" w:cs="Times New Roman"/>
          <w:color w:val="auto"/>
          <w:spacing w:val="6"/>
          <w:kern w:val="0"/>
          <w:szCs w:val="21"/>
          <w:highlight w:val="none"/>
        </w:rPr>
      </w:pPr>
    </w:p>
    <w:p w14:paraId="10E384C1">
      <w:pPr>
        <w:tabs>
          <w:tab w:val="left" w:pos="4860"/>
        </w:tabs>
        <w:adjustRightInd w:val="0"/>
        <w:snapToGrid w:val="0"/>
        <w:spacing w:line="600" w:lineRule="exact"/>
        <w:ind w:right="1560" w:firstLine="444" w:firstLineChars="200"/>
        <w:jc w:val="center"/>
        <w:rPr>
          <w:rFonts w:ascii="宋体" w:hAnsi="宋体" w:eastAsia="宋体" w:cs="Times New Roman"/>
          <w:color w:val="auto"/>
          <w:spacing w:val="6"/>
          <w:kern w:val="0"/>
          <w:szCs w:val="21"/>
          <w:highlight w:val="none"/>
          <w:u w:val="single"/>
        </w:rPr>
      </w:pPr>
      <w:r>
        <w:rPr>
          <w:rFonts w:hint="eastAsia" w:ascii="宋体" w:hAnsi="宋体" w:eastAsia="宋体" w:cs="Times New Roman"/>
          <w:color w:val="auto"/>
          <w:spacing w:val="6"/>
          <w:kern w:val="0"/>
          <w:szCs w:val="21"/>
          <w:highlight w:val="none"/>
        </w:rPr>
        <w:t xml:space="preserve">               单位名称（盖章）：</w:t>
      </w:r>
      <w:r>
        <w:rPr>
          <w:rFonts w:hint="eastAsia" w:ascii="宋体" w:hAnsi="宋体" w:eastAsia="宋体" w:cs="Times New Roman"/>
          <w:color w:val="auto"/>
          <w:spacing w:val="6"/>
          <w:kern w:val="0"/>
          <w:szCs w:val="21"/>
          <w:highlight w:val="none"/>
          <w:u w:val="single"/>
        </w:rPr>
        <w:t xml:space="preserve">                    </w:t>
      </w:r>
    </w:p>
    <w:p w14:paraId="2EA4F242">
      <w:pPr>
        <w:tabs>
          <w:tab w:val="left" w:pos="4860"/>
        </w:tabs>
        <w:adjustRightInd w:val="0"/>
        <w:snapToGrid w:val="0"/>
        <w:spacing w:line="600" w:lineRule="exact"/>
        <w:ind w:right="1560" w:firstLine="444" w:firstLineChars="200"/>
        <w:jc w:val="center"/>
        <w:rPr>
          <w:rFonts w:ascii="宋体" w:hAnsi="宋体" w:eastAsia="宋体" w:cs="Times New Roman"/>
          <w:color w:val="auto"/>
          <w:spacing w:val="6"/>
          <w:kern w:val="0"/>
          <w:szCs w:val="21"/>
          <w:highlight w:val="none"/>
          <w:u w:val="single"/>
        </w:rPr>
      </w:pPr>
      <w:r>
        <w:rPr>
          <w:rFonts w:hint="eastAsia" w:ascii="宋体" w:hAnsi="宋体" w:eastAsia="宋体" w:cs="Times New Roman"/>
          <w:color w:val="auto"/>
          <w:spacing w:val="6"/>
          <w:kern w:val="0"/>
          <w:szCs w:val="21"/>
          <w:highlight w:val="none"/>
        </w:rPr>
        <w:t xml:space="preserve">       日  期：</w:t>
      </w:r>
      <w:r>
        <w:rPr>
          <w:rFonts w:hint="eastAsia" w:ascii="宋体" w:hAnsi="宋体" w:eastAsia="宋体" w:cs="Times New Roman"/>
          <w:color w:val="auto"/>
          <w:spacing w:val="6"/>
          <w:kern w:val="0"/>
          <w:szCs w:val="21"/>
          <w:highlight w:val="none"/>
          <w:u w:val="single"/>
        </w:rPr>
        <w:t xml:space="preserve">                        </w:t>
      </w:r>
    </w:p>
    <w:p w14:paraId="6457F453">
      <w:pPr>
        <w:widowControl/>
        <w:adjustRightInd w:val="0"/>
        <w:snapToGrid w:val="0"/>
        <w:spacing w:line="360" w:lineRule="auto"/>
        <w:jc w:val="left"/>
        <w:rPr>
          <w:rFonts w:ascii="宋体" w:hAnsi="宋体" w:eastAsia="宋体" w:cs="宋体"/>
          <w:color w:val="auto"/>
          <w:kern w:val="0"/>
          <w:szCs w:val="21"/>
          <w:highlight w:val="none"/>
        </w:rPr>
      </w:pPr>
    </w:p>
    <w:p w14:paraId="2B49DDCA">
      <w:pPr>
        <w:adjustRightInd w:val="0"/>
        <w:snapToGrid w:val="0"/>
        <w:rPr>
          <w:rFonts w:ascii="宋体" w:hAnsi="宋体" w:eastAsia="宋体" w:cs="Times New Roman"/>
          <w:color w:val="auto"/>
          <w:kern w:val="0"/>
          <w:sz w:val="30"/>
          <w:szCs w:val="30"/>
          <w:highlight w:val="none"/>
        </w:rPr>
      </w:pPr>
      <w:r>
        <w:rPr>
          <w:rFonts w:hint="eastAsia" w:ascii="宋体" w:hAnsi="宋体" w:eastAsia="宋体" w:cs="宋体"/>
          <w:color w:val="auto"/>
          <w:kern w:val="0"/>
          <w:szCs w:val="21"/>
          <w:highlight w:val="none"/>
        </w:rPr>
        <w:br w:type="page"/>
      </w:r>
    </w:p>
    <w:p w14:paraId="5D002839">
      <w:pPr>
        <w:adjustRightInd w:val="0"/>
        <w:snapToGrid w:val="0"/>
        <w:rPr>
          <w:rFonts w:ascii="宋体" w:hAnsi="宋体" w:eastAsia="宋体" w:cs="Times New Roman"/>
          <w:color w:val="auto"/>
          <w:kern w:val="0"/>
          <w:sz w:val="30"/>
          <w:szCs w:val="30"/>
          <w:highlight w:val="none"/>
        </w:rPr>
      </w:pPr>
      <w:r>
        <w:rPr>
          <w:rFonts w:hint="eastAsia" w:ascii="宋体" w:hAnsi="宋体" w:eastAsia="宋体" w:cs="Times New Roman"/>
          <w:color w:val="auto"/>
          <w:kern w:val="0"/>
          <w:sz w:val="30"/>
          <w:szCs w:val="30"/>
          <w:highlight w:val="none"/>
        </w:rPr>
        <w:t>附件</w:t>
      </w:r>
      <w:r>
        <w:rPr>
          <w:rFonts w:hint="eastAsia" w:ascii="宋体" w:hAnsi="宋体" w:cs="Times New Roman"/>
          <w:color w:val="auto"/>
          <w:kern w:val="0"/>
          <w:sz w:val="30"/>
          <w:szCs w:val="30"/>
          <w:highlight w:val="none"/>
          <w:lang w:val="en-US" w:eastAsia="zh-CN"/>
        </w:rPr>
        <w:t>8</w:t>
      </w:r>
      <w:r>
        <w:rPr>
          <w:rFonts w:hint="eastAsia" w:ascii="宋体" w:hAnsi="宋体" w:eastAsia="宋体" w:cs="Times New Roman"/>
          <w:color w:val="auto"/>
          <w:kern w:val="0"/>
          <w:sz w:val="30"/>
          <w:szCs w:val="30"/>
          <w:highlight w:val="none"/>
        </w:rPr>
        <w:t>-2</w:t>
      </w:r>
    </w:p>
    <w:p w14:paraId="564F66F6">
      <w:pPr>
        <w:adjustRightInd w:val="0"/>
        <w:snapToGrid w:val="0"/>
        <w:rPr>
          <w:rFonts w:ascii="宋体" w:hAnsi="宋体" w:eastAsia="宋体" w:cs="Times New Roman"/>
          <w:color w:val="auto"/>
          <w:kern w:val="0"/>
          <w:sz w:val="30"/>
          <w:szCs w:val="30"/>
          <w:highlight w:val="none"/>
        </w:rPr>
      </w:pPr>
    </w:p>
    <w:p w14:paraId="34989B22">
      <w:pPr>
        <w:spacing w:before="120" w:beforeLines="50" w:after="120" w:afterLines="50" w:line="700" w:lineRule="exact"/>
        <w:jc w:val="center"/>
        <w:outlineLvl w:val="3"/>
        <w:rPr>
          <w:rFonts w:ascii="宋体" w:hAnsi="宋体" w:eastAsia="宋体" w:cs="Times New Roman"/>
          <w:b/>
          <w:color w:val="auto"/>
          <w:kern w:val="0"/>
          <w:sz w:val="32"/>
          <w:szCs w:val="32"/>
          <w:highlight w:val="none"/>
        </w:rPr>
      </w:pPr>
      <w:r>
        <w:rPr>
          <w:rFonts w:hint="eastAsia" w:ascii="宋体" w:hAnsi="宋体" w:eastAsia="宋体" w:cs="Times New Roman"/>
          <w:b/>
          <w:color w:val="auto"/>
          <w:kern w:val="0"/>
          <w:sz w:val="32"/>
          <w:szCs w:val="32"/>
          <w:highlight w:val="none"/>
        </w:rPr>
        <w:t>监狱企业证明资料</w:t>
      </w:r>
    </w:p>
    <w:p w14:paraId="0F29BC14">
      <w:pPr>
        <w:widowControl/>
        <w:adjustRightInd w:val="0"/>
        <w:snapToGrid w:val="0"/>
        <w:spacing w:before="120" w:beforeLines="50" w:after="120" w:afterLines="50" w:line="600" w:lineRule="exact"/>
        <w:ind w:firstLine="506" w:firstLineChars="200"/>
        <w:jc w:val="center"/>
        <w:rPr>
          <w:rFonts w:ascii="宋体" w:hAnsi="宋体" w:eastAsia="宋体" w:cs="宋体"/>
          <w:b/>
          <w:bCs/>
          <w:color w:val="auto"/>
          <w:spacing w:val="6"/>
          <w:kern w:val="0"/>
          <w:sz w:val="24"/>
          <w:szCs w:val="20"/>
          <w:highlight w:val="none"/>
        </w:rPr>
      </w:pPr>
      <w:r>
        <w:rPr>
          <w:rFonts w:hint="eastAsia" w:ascii="宋体" w:hAnsi="宋体" w:eastAsia="宋体" w:cs="宋体"/>
          <w:b/>
          <w:bCs/>
          <w:color w:val="auto"/>
          <w:spacing w:val="6"/>
          <w:kern w:val="0"/>
          <w:sz w:val="24"/>
          <w:szCs w:val="20"/>
          <w:highlight w:val="none"/>
        </w:rPr>
        <w:t>(不属于监狱企业的无需提供)</w:t>
      </w:r>
    </w:p>
    <w:p w14:paraId="5D0EC7B8">
      <w:pPr>
        <w:adjustRightInd w:val="0"/>
        <w:snapToGrid w:val="0"/>
        <w:spacing w:line="360" w:lineRule="auto"/>
        <w:rPr>
          <w:rFonts w:ascii="宋体" w:hAnsi="宋体" w:eastAsia="宋体" w:cs="Times New Roman"/>
          <w:color w:val="auto"/>
          <w:kern w:val="0"/>
          <w:szCs w:val="21"/>
          <w:highlight w:val="none"/>
        </w:rPr>
      </w:pPr>
    </w:p>
    <w:p w14:paraId="4204F1A3">
      <w:pPr>
        <w:adjustRightInd w:val="0"/>
        <w:snapToGrid w:val="0"/>
        <w:spacing w:line="360" w:lineRule="auto"/>
        <w:ind w:firstLine="444" w:firstLineChars="200"/>
        <w:rPr>
          <w:rFonts w:ascii="宋体" w:hAnsi="宋体" w:eastAsia="宋体" w:cs="Times New Roman"/>
          <w:color w:val="auto"/>
          <w:kern w:val="0"/>
          <w:szCs w:val="21"/>
          <w:highlight w:val="none"/>
        </w:rPr>
      </w:pPr>
      <w:r>
        <w:rPr>
          <w:rFonts w:hint="eastAsia" w:ascii="宋体" w:hAnsi="宋体" w:eastAsia="宋体" w:cs="宋体"/>
          <w:bCs/>
          <w:color w:val="auto"/>
          <w:spacing w:val="6"/>
          <w:kern w:val="0"/>
          <w:szCs w:val="21"/>
          <w:highlight w:val="none"/>
        </w:rPr>
        <w:t>备注：</w:t>
      </w:r>
      <w:r>
        <w:rPr>
          <w:rFonts w:hint="eastAsia" w:ascii="宋体" w:hAnsi="宋体" w:eastAsia="宋体" w:cs="Times New Roman"/>
          <w:color w:val="auto"/>
          <w:kern w:val="0"/>
          <w:szCs w:val="21"/>
          <w:highlight w:val="none"/>
        </w:rPr>
        <w:t>按</w:t>
      </w:r>
      <w:r>
        <w:rPr>
          <w:rFonts w:hint="eastAsia" w:ascii="宋体" w:hAnsi="宋体" w:eastAsia="宋体" w:cs="Times New Roman"/>
          <w:color w:val="auto"/>
          <w:spacing w:val="6"/>
          <w:kern w:val="0"/>
          <w:szCs w:val="21"/>
          <w:highlight w:val="none"/>
        </w:rPr>
        <w:t>《</w:t>
      </w:r>
      <w:r>
        <w:rPr>
          <w:rFonts w:hint="eastAsia" w:ascii="宋体" w:hAnsi="宋体" w:eastAsia="宋体" w:cs="Times New Roman"/>
          <w:color w:val="auto"/>
          <w:kern w:val="0"/>
          <w:szCs w:val="21"/>
          <w:highlight w:val="none"/>
        </w:rPr>
        <w:t>财政部 司法部关于政府采购支持监狱企业发展有关问题的通知</w:t>
      </w:r>
      <w:r>
        <w:rPr>
          <w:rFonts w:hint="eastAsia" w:ascii="宋体" w:hAnsi="宋体" w:eastAsia="宋体" w:cs="Times New Roman"/>
          <w:color w:val="auto"/>
          <w:spacing w:val="6"/>
          <w:kern w:val="0"/>
          <w:szCs w:val="21"/>
          <w:highlight w:val="none"/>
        </w:rPr>
        <w:t>》</w:t>
      </w:r>
      <w:r>
        <w:rPr>
          <w:rFonts w:hint="eastAsia" w:ascii="宋体" w:hAnsi="宋体" w:eastAsia="宋体" w:cs="Times New Roman"/>
          <w:color w:val="auto"/>
          <w:kern w:val="0"/>
          <w:szCs w:val="21"/>
          <w:highlight w:val="none"/>
        </w:rPr>
        <w:t>(财库〔2014〕68号)文件规定提供证明文件（复印件）。</w:t>
      </w:r>
    </w:p>
    <w:p w14:paraId="27819129">
      <w:pPr>
        <w:tabs>
          <w:tab w:val="left" w:pos="3600"/>
        </w:tabs>
        <w:wordWrap w:val="0"/>
        <w:adjustRightInd w:val="0"/>
        <w:snapToGrid w:val="0"/>
        <w:rPr>
          <w:rFonts w:ascii="黑体" w:hAnsi="Times New Roman" w:eastAsia="黑体" w:cs="Times New Roman"/>
          <w:b/>
          <w:color w:val="auto"/>
          <w:kern w:val="0"/>
          <w:sz w:val="32"/>
          <w:szCs w:val="32"/>
          <w:highlight w:val="none"/>
        </w:rPr>
      </w:pPr>
    </w:p>
    <w:p w14:paraId="1EBC712B">
      <w:pPr>
        <w:rPr>
          <w:rFonts w:ascii="Times New Roman" w:hAnsi="Times New Roman" w:eastAsia="宋体" w:cs="Times New Roman"/>
          <w:color w:val="auto"/>
          <w:kern w:val="0"/>
          <w:szCs w:val="20"/>
          <w:highlight w:val="none"/>
        </w:rPr>
      </w:pPr>
    </w:p>
    <w:p w14:paraId="03598632">
      <w:pPr>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br w:type="page"/>
      </w:r>
    </w:p>
    <w:p w14:paraId="7255D4A6">
      <w:pPr>
        <w:snapToGrid w:val="0"/>
        <w:spacing w:line="360" w:lineRule="auto"/>
        <w:ind w:right="23"/>
        <w:jc w:val="center"/>
        <w:rPr>
          <w:rFonts w:ascii="宋体" w:hAnsi="宋体" w:eastAsia="宋体" w:cs="Times New Roman"/>
          <w:b/>
          <w:color w:val="auto"/>
          <w:kern w:val="0"/>
          <w:sz w:val="32"/>
          <w:szCs w:val="20"/>
          <w:highlight w:val="none"/>
        </w:rPr>
      </w:pPr>
      <w:r>
        <w:rPr>
          <w:rFonts w:hint="eastAsia" w:ascii="宋体" w:hAnsi="宋体" w:eastAsia="宋体" w:cs="Times New Roman"/>
          <w:b/>
          <w:color w:val="auto"/>
          <w:kern w:val="0"/>
          <w:sz w:val="32"/>
          <w:szCs w:val="20"/>
          <w:highlight w:val="none"/>
        </w:rPr>
        <w:t>七、报价一览表及报价文件</w:t>
      </w:r>
    </w:p>
    <w:p w14:paraId="678138E6">
      <w:pPr>
        <w:snapToGrid w:val="0"/>
        <w:spacing w:line="360" w:lineRule="auto"/>
        <w:ind w:firstLine="480"/>
        <w:rPr>
          <w:rFonts w:ascii="宋体" w:hAnsi="宋体" w:eastAsia="宋体" w:cs="Times New Roman"/>
          <w:color w:val="auto"/>
          <w:kern w:val="0"/>
          <w:sz w:val="28"/>
          <w:szCs w:val="20"/>
          <w:highlight w:val="none"/>
        </w:rPr>
      </w:pPr>
      <w:r>
        <w:rPr>
          <w:rFonts w:hint="eastAsia" w:ascii="宋体" w:hAnsi="宋体" w:eastAsia="宋体" w:cs="Times New Roman"/>
          <w:color w:val="auto"/>
          <w:kern w:val="0"/>
          <w:sz w:val="24"/>
          <w:szCs w:val="20"/>
          <w:highlight w:val="none"/>
        </w:rPr>
        <w:t>附件</w:t>
      </w:r>
      <w:r>
        <w:rPr>
          <w:rFonts w:hint="eastAsia" w:ascii="宋体" w:hAnsi="宋体" w:cs="Times New Roman"/>
          <w:color w:val="auto"/>
          <w:kern w:val="0"/>
          <w:sz w:val="24"/>
          <w:szCs w:val="20"/>
          <w:highlight w:val="none"/>
          <w:lang w:val="en-US" w:eastAsia="zh-CN"/>
        </w:rPr>
        <w:t>9</w:t>
      </w:r>
      <w:r>
        <w:rPr>
          <w:rFonts w:hint="eastAsia" w:ascii="宋体" w:hAnsi="宋体" w:eastAsia="宋体" w:cs="Times New Roman"/>
          <w:color w:val="auto"/>
          <w:kern w:val="0"/>
          <w:sz w:val="24"/>
          <w:szCs w:val="20"/>
          <w:highlight w:val="none"/>
        </w:rPr>
        <w:t xml:space="preserve">：    </w:t>
      </w:r>
      <w:r>
        <w:rPr>
          <w:rFonts w:hint="eastAsia" w:ascii="宋体" w:hAnsi="宋体" w:eastAsia="宋体" w:cs="Times New Roman"/>
          <w:b/>
          <w:color w:val="auto"/>
          <w:kern w:val="0"/>
          <w:sz w:val="24"/>
          <w:szCs w:val="20"/>
          <w:highlight w:val="none"/>
        </w:rPr>
        <w:t xml:space="preserve">                 </w:t>
      </w:r>
      <w:r>
        <w:rPr>
          <w:rFonts w:hint="eastAsia" w:ascii="宋体" w:hAnsi="宋体" w:eastAsia="宋体" w:cs="Times New Roman"/>
          <w:color w:val="auto"/>
          <w:kern w:val="0"/>
          <w:sz w:val="28"/>
          <w:szCs w:val="20"/>
          <w:highlight w:val="none"/>
        </w:rPr>
        <w:t>报价一览表</w:t>
      </w:r>
    </w:p>
    <w:tbl>
      <w:tblPr>
        <w:tblStyle w:val="26"/>
        <w:tblW w:w="0" w:type="auto"/>
        <w:tblInd w:w="108" w:type="dxa"/>
        <w:tblLayout w:type="fixed"/>
        <w:tblCellMar>
          <w:top w:w="0" w:type="dxa"/>
          <w:left w:w="0" w:type="dxa"/>
          <w:bottom w:w="0" w:type="dxa"/>
          <w:right w:w="0" w:type="dxa"/>
        </w:tblCellMar>
      </w:tblPr>
      <w:tblGrid>
        <w:gridCol w:w="1620"/>
        <w:gridCol w:w="3060"/>
        <w:gridCol w:w="1620"/>
        <w:gridCol w:w="2520"/>
      </w:tblGrid>
      <w:tr w14:paraId="7D2C6EFC">
        <w:tblPrEx>
          <w:tblCellMar>
            <w:top w:w="0" w:type="dxa"/>
            <w:left w:w="0" w:type="dxa"/>
            <w:bottom w:w="0" w:type="dxa"/>
            <w:right w:w="0" w:type="dxa"/>
          </w:tblCellMar>
        </w:tblPrEx>
        <w:trPr>
          <w:trHeight w:val="449" w:hRule="atLeast"/>
        </w:trPr>
        <w:tc>
          <w:tcPr>
            <w:tcW w:w="1620" w:type="dxa"/>
            <w:vMerge w:val="restart"/>
            <w:tcBorders>
              <w:top w:val="double" w:color="000000" w:sz="4"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26DEB286">
            <w:pPr>
              <w:tabs>
                <w:tab w:val="left" w:pos="403"/>
                <w:tab w:val="center" w:pos="3781"/>
              </w:tabs>
              <w:snapToGrid w:val="0"/>
              <w:spacing w:line="360" w:lineRule="auto"/>
              <w:ind w:right="-5206" w:firstLine="210"/>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t>项目名称</w:t>
            </w:r>
            <w:r>
              <w:rPr>
                <w:rFonts w:ascii="宋体" w:hAnsi="宋体" w:eastAsia="宋体" w:cs="Times New Roman"/>
                <w:color w:val="auto"/>
                <w:kern w:val="0"/>
                <w:szCs w:val="20"/>
                <w:highlight w:val="none"/>
              </w:rPr>
              <w:tab/>
            </w:r>
            <w:r>
              <w:rPr>
                <w:rFonts w:ascii="宋体" w:hAnsi="宋体" w:eastAsia="宋体" w:cs="Times New Roman"/>
                <w:color w:val="auto"/>
                <w:kern w:val="0"/>
                <w:szCs w:val="20"/>
                <w:highlight w:val="none"/>
              </w:rPr>
              <w:t>项目名称</w:t>
            </w:r>
          </w:p>
        </w:tc>
        <w:tc>
          <w:tcPr>
            <w:tcW w:w="3060" w:type="dxa"/>
            <w:vMerge w:val="restart"/>
            <w:tcBorders>
              <w:top w:val="double" w:color="000000" w:sz="4"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1668269C">
            <w:pPr>
              <w:snapToGrid w:val="0"/>
              <w:spacing w:line="360" w:lineRule="auto"/>
              <w:jc w:val="center"/>
              <w:rPr>
                <w:rFonts w:ascii="宋体" w:hAnsi="宋体" w:eastAsia="宋体" w:cs="Times New Roman"/>
                <w:color w:val="auto"/>
                <w:kern w:val="0"/>
                <w:szCs w:val="20"/>
                <w:highlight w:val="none"/>
              </w:rPr>
            </w:pPr>
          </w:p>
        </w:tc>
        <w:tc>
          <w:tcPr>
            <w:tcW w:w="1620" w:type="dxa"/>
            <w:tcBorders>
              <w:top w:val="double" w:color="000000" w:sz="4"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1B0D0B6A">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采购</w:t>
            </w:r>
            <w:r>
              <w:rPr>
                <w:rFonts w:ascii="宋体" w:hAnsi="宋体" w:eastAsia="宋体" w:cs="Times New Roman"/>
                <w:color w:val="auto"/>
                <w:kern w:val="0"/>
                <w:szCs w:val="20"/>
                <w:highlight w:val="none"/>
              </w:rPr>
              <w:t>编号</w:t>
            </w:r>
          </w:p>
        </w:tc>
        <w:tc>
          <w:tcPr>
            <w:tcW w:w="2520" w:type="dxa"/>
            <w:tcBorders>
              <w:top w:val="double" w:color="000000" w:sz="4"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6E53213E">
            <w:pPr>
              <w:snapToGrid w:val="0"/>
              <w:spacing w:line="360" w:lineRule="auto"/>
              <w:jc w:val="center"/>
              <w:rPr>
                <w:rFonts w:ascii="宋体" w:hAnsi="宋体" w:eastAsia="宋体" w:cs="Times New Roman"/>
                <w:color w:val="auto"/>
                <w:kern w:val="0"/>
                <w:szCs w:val="20"/>
                <w:highlight w:val="none"/>
              </w:rPr>
            </w:pPr>
          </w:p>
        </w:tc>
      </w:tr>
      <w:tr w14:paraId="5C29D8B6">
        <w:tblPrEx>
          <w:tblCellMar>
            <w:top w:w="0" w:type="dxa"/>
            <w:left w:w="0" w:type="dxa"/>
            <w:bottom w:w="0" w:type="dxa"/>
            <w:right w:w="0" w:type="dxa"/>
          </w:tblCellMar>
        </w:tblPrEx>
        <w:trPr>
          <w:trHeight w:val="456" w:hRule="atLeast"/>
        </w:trPr>
        <w:tc>
          <w:tcPr>
            <w:tcW w:w="1620" w:type="dxa"/>
            <w:vMerge w:val="continue"/>
            <w:tcBorders>
              <w:top w:val="double" w:color="000000" w:sz="4"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718AF45E">
            <w:pPr>
              <w:snapToGrid w:val="0"/>
              <w:spacing w:line="360" w:lineRule="auto"/>
              <w:jc w:val="center"/>
              <w:rPr>
                <w:rFonts w:ascii="宋体" w:hAnsi="宋体" w:eastAsia="宋体" w:cs="Times New Roman"/>
                <w:color w:val="auto"/>
                <w:kern w:val="0"/>
                <w:szCs w:val="20"/>
                <w:highlight w:val="none"/>
              </w:rPr>
            </w:pPr>
          </w:p>
        </w:tc>
        <w:tc>
          <w:tcPr>
            <w:tcW w:w="3060" w:type="dxa"/>
            <w:vMerge w:val="continue"/>
            <w:tcBorders>
              <w:top w:val="double" w:color="000000" w:sz="4"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3295A644">
            <w:pPr>
              <w:snapToGrid w:val="0"/>
              <w:spacing w:line="360" w:lineRule="auto"/>
              <w:jc w:val="center"/>
              <w:rPr>
                <w:rFonts w:ascii="宋体" w:hAnsi="宋体" w:eastAsia="宋体" w:cs="Times New Roman"/>
                <w:color w:val="auto"/>
                <w:kern w:val="0"/>
                <w:szCs w:val="20"/>
                <w:highlight w:val="none"/>
              </w:rPr>
            </w:pPr>
          </w:p>
        </w:tc>
        <w:tc>
          <w:tcPr>
            <w:tcW w:w="1620"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4157CC08">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lang w:val="en-US" w:eastAsia="zh-CN"/>
              </w:rPr>
              <w:t>委托</w:t>
            </w:r>
            <w:r>
              <w:rPr>
                <w:rFonts w:hint="eastAsia" w:ascii="宋体" w:hAnsi="宋体" w:eastAsia="宋体" w:cs="Times New Roman"/>
                <w:color w:val="auto"/>
                <w:kern w:val="0"/>
                <w:szCs w:val="20"/>
                <w:highlight w:val="none"/>
              </w:rPr>
              <w:t>代理</w:t>
            </w:r>
            <w:r>
              <w:rPr>
                <w:rFonts w:ascii="宋体" w:hAnsi="宋体" w:eastAsia="宋体" w:cs="Times New Roman"/>
                <w:color w:val="auto"/>
                <w:kern w:val="0"/>
                <w:szCs w:val="20"/>
                <w:highlight w:val="none"/>
              </w:rPr>
              <w:t>编号</w:t>
            </w:r>
          </w:p>
        </w:tc>
        <w:tc>
          <w:tcPr>
            <w:tcW w:w="2520" w:type="dxa"/>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31DDA256">
            <w:pPr>
              <w:snapToGrid w:val="0"/>
              <w:spacing w:line="360" w:lineRule="auto"/>
              <w:jc w:val="center"/>
              <w:rPr>
                <w:rFonts w:ascii="宋体" w:hAnsi="宋体" w:eastAsia="宋体" w:cs="Times New Roman"/>
                <w:color w:val="auto"/>
                <w:kern w:val="0"/>
                <w:szCs w:val="20"/>
                <w:highlight w:val="none"/>
              </w:rPr>
            </w:pPr>
          </w:p>
        </w:tc>
      </w:tr>
      <w:tr w14:paraId="48090C91">
        <w:tblPrEx>
          <w:tblCellMar>
            <w:top w:w="0" w:type="dxa"/>
            <w:left w:w="0" w:type="dxa"/>
            <w:bottom w:w="0" w:type="dxa"/>
            <w:right w:w="0" w:type="dxa"/>
          </w:tblCellMar>
        </w:tblPrEx>
        <w:trPr>
          <w:trHeight w:val="603" w:hRule="atLeast"/>
        </w:trPr>
        <w:tc>
          <w:tcPr>
            <w:tcW w:w="1620" w:type="dxa"/>
            <w:tcBorders>
              <w:top w:val="single" w:color="000000" w:sz="6" w:space="0"/>
              <w:left w:val="double" w:color="000000" w:sz="4" w:space="0"/>
              <w:bottom w:val="single" w:color="000000" w:sz="4" w:space="0"/>
              <w:right w:val="single" w:color="000000" w:sz="6" w:space="0"/>
            </w:tcBorders>
            <w:noWrap w:val="0"/>
            <w:tcMar>
              <w:top w:w="0" w:type="dxa"/>
              <w:left w:w="108" w:type="dxa"/>
              <w:bottom w:w="0" w:type="dxa"/>
              <w:right w:w="108" w:type="dxa"/>
            </w:tcMar>
            <w:vAlign w:val="center"/>
          </w:tcPr>
          <w:p w14:paraId="72622493">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工程范围</w:t>
            </w:r>
          </w:p>
        </w:tc>
        <w:tc>
          <w:tcPr>
            <w:tcW w:w="7200" w:type="dxa"/>
            <w:gridSpan w:val="3"/>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3ED918C9">
            <w:pPr>
              <w:snapToGrid w:val="0"/>
              <w:spacing w:line="360" w:lineRule="auto"/>
              <w:rPr>
                <w:rFonts w:ascii="宋体" w:hAnsi="宋体" w:eastAsia="宋体" w:cs="Times New Roman"/>
                <w:color w:val="auto"/>
                <w:kern w:val="0"/>
                <w:szCs w:val="20"/>
                <w:highlight w:val="none"/>
              </w:rPr>
            </w:pPr>
          </w:p>
        </w:tc>
      </w:tr>
      <w:tr w14:paraId="5901C085">
        <w:tblPrEx>
          <w:tblCellMar>
            <w:top w:w="0" w:type="dxa"/>
            <w:left w:w="0" w:type="dxa"/>
            <w:bottom w:w="0" w:type="dxa"/>
            <w:right w:w="0" w:type="dxa"/>
          </w:tblCellMar>
        </w:tblPrEx>
        <w:trPr>
          <w:trHeight w:val="603" w:hRule="atLeast"/>
        </w:trPr>
        <w:tc>
          <w:tcPr>
            <w:tcW w:w="1620" w:type="dxa"/>
            <w:tcBorders>
              <w:top w:val="single" w:color="000000" w:sz="6" w:space="0"/>
              <w:left w:val="double" w:color="000000" w:sz="4" w:space="0"/>
              <w:bottom w:val="single" w:color="000000" w:sz="4" w:space="0"/>
              <w:right w:val="single" w:color="000000" w:sz="6" w:space="0"/>
            </w:tcBorders>
            <w:noWrap w:val="0"/>
            <w:tcMar>
              <w:top w:w="0" w:type="dxa"/>
              <w:left w:w="108" w:type="dxa"/>
              <w:bottom w:w="0" w:type="dxa"/>
              <w:right w:w="108" w:type="dxa"/>
            </w:tcMar>
            <w:vAlign w:val="center"/>
          </w:tcPr>
          <w:p w14:paraId="2B6ACA0A">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磋商</w:t>
            </w:r>
            <w:r>
              <w:rPr>
                <w:rFonts w:ascii="宋体" w:hAnsi="宋体" w:eastAsia="宋体" w:cs="Times New Roman"/>
                <w:color w:val="auto"/>
                <w:kern w:val="0"/>
                <w:szCs w:val="20"/>
                <w:highlight w:val="none"/>
              </w:rPr>
              <w:t>报价</w:t>
            </w:r>
          </w:p>
        </w:tc>
        <w:tc>
          <w:tcPr>
            <w:tcW w:w="7200" w:type="dxa"/>
            <w:gridSpan w:val="3"/>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7B4974A4">
            <w:pPr>
              <w:snapToGrid w:val="0"/>
              <w:spacing w:line="360" w:lineRule="auto"/>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大写：</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元人民币整</w:t>
            </w:r>
          </w:p>
          <w:p w14:paraId="1431FB70">
            <w:pPr>
              <w:snapToGrid w:val="0"/>
              <w:spacing w:line="360" w:lineRule="auto"/>
              <w:rPr>
                <w:rFonts w:ascii="宋体" w:hAnsi="宋体" w:eastAsia="宋体" w:cs="Times New Roman"/>
                <w:color w:val="auto"/>
                <w:kern w:val="0"/>
                <w:sz w:val="20"/>
                <w:szCs w:val="20"/>
                <w:highlight w:val="none"/>
              </w:rPr>
            </w:pPr>
            <w:r>
              <w:rPr>
                <w:rFonts w:hint="eastAsia" w:ascii="宋体" w:hAnsi="宋体" w:eastAsia="宋体" w:cs="Times New Roman"/>
                <w:color w:val="auto"/>
                <w:kern w:val="0"/>
                <w:szCs w:val="20"/>
                <w:highlight w:val="none"/>
              </w:rPr>
              <w:t>小写：</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元人民币整</w:t>
            </w:r>
          </w:p>
        </w:tc>
      </w:tr>
      <w:tr w14:paraId="777D9ADB">
        <w:tblPrEx>
          <w:tblCellMar>
            <w:top w:w="0" w:type="dxa"/>
            <w:left w:w="0" w:type="dxa"/>
            <w:bottom w:w="0" w:type="dxa"/>
            <w:right w:w="0" w:type="dxa"/>
          </w:tblCellMar>
        </w:tblPrEx>
        <w:trPr>
          <w:trHeight w:val="455" w:hRule="atLeast"/>
        </w:trPr>
        <w:tc>
          <w:tcPr>
            <w:tcW w:w="1620" w:type="dxa"/>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38F69121">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工期</w:t>
            </w:r>
          </w:p>
        </w:tc>
        <w:tc>
          <w:tcPr>
            <w:tcW w:w="7200" w:type="dxa"/>
            <w:gridSpan w:val="3"/>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1E84605D">
            <w:pPr>
              <w:snapToGrid w:val="0"/>
              <w:spacing w:line="360" w:lineRule="auto"/>
              <w:rPr>
                <w:rFonts w:ascii="宋体" w:hAnsi="宋体" w:eastAsia="宋体" w:cs="Times New Roman"/>
                <w:color w:val="auto"/>
                <w:kern w:val="0"/>
                <w:szCs w:val="20"/>
                <w:highlight w:val="none"/>
              </w:rPr>
            </w:pPr>
          </w:p>
        </w:tc>
      </w:tr>
      <w:tr w14:paraId="46E3A0D9">
        <w:tblPrEx>
          <w:tblCellMar>
            <w:top w:w="0" w:type="dxa"/>
            <w:left w:w="0" w:type="dxa"/>
            <w:bottom w:w="0" w:type="dxa"/>
            <w:right w:w="0" w:type="dxa"/>
          </w:tblCellMar>
        </w:tblPrEx>
        <w:trPr>
          <w:trHeight w:val="447" w:hRule="atLeast"/>
        </w:trPr>
        <w:tc>
          <w:tcPr>
            <w:tcW w:w="1620" w:type="dxa"/>
            <w:tcBorders>
              <w:top w:val="single" w:color="000000" w:sz="6" w:space="0"/>
              <w:left w:val="double" w:color="000000" w:sz="4" w:space="0"/>
              <w:bottom w:val="single" w:color="000000" w:sz="6" w:space="0"/>
              <w:right w:val="single" w:color="000000" w:sz="6" w:space="0"/>
            </w:tcBorders>
            <w:noWrap w:val="0"/>
            <w:tcMar>
              <w:top w:w="0" w:type="dxa"/>
              <w:left w:w="108" w:type="dxa"/>
              <w:bottom w:w="0" w:type="dxa"/>
              <w:right w:w="108" w:type="dxa"/>
            </w:tcMar>
            <w:vAlign w:val="center"/>
          </w:tcPr>
          <w:p w14:paraId="1B4E2172">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项目负责人</w:t>
            </w:r>
          </w:p>
        </w:tc>
        <w:tc>
          <w:tcPr>
            <w:tcW w:w="7200" w:type="dxa"/>
            <w:gridSpan w:val="3"/>
            <w:tcBorders>
              <w:top w:val="single" w:color="000000" w:sz="6" w:space="0"/>
              <w:left w:val="single" w:color="000000" w:sz="6" w:space="0"/>
              <w:bottom w:val="single" w:color="000000" w:sz="6" w:space="0"/>
              <w:right w:val="double" w:color="000000" w:sz="4" w:space="0"/>
            </w:tcBorders>
            <w:noWrap w:val="0"/>
            <w:tcMar>
              <w:top w:w="0" w:type="dxa"/>
              <w:left w:w="108" w:type="dxa"/>
              <w:bottom w:w="0" w:type="dxa"/>
              <w:right w:w="108" w:type="dxa"/>
            </w:tcMar>
            <w:vAlign w:val="center"/>
          </w:tcPr>
          <w:p w14:paraId="66338FE0">
            <w:pPr>
              <w:snapToGrid w:val="0"/>
              <w:spacing w:line="360" w:lineRule="auto"/>
              <w:ind w:firstLine="210"/>
              <w:rPr>
                <w:rFonts w:ascii="宋体" w:hAnsi="宋体" w:eastAsia="宋体" w:cs="Times New Roman"/>
                <w:color w:val="auto"/>
                <w:kern w:val="0"/>
                <w:szCs w:val="20"/>
                <w:highlight w:val="none"/>
              </w:rPr>
            </w:pPr>
          </w:p>
        </w:tc>
      </w:tr>
      <w:tr w14:paraId="40147527">
        <w:tblPrEx>
          <w:tblCellMar>
            <w:top w:w="0" w:type="dxa"/>
            <w:left w:w="0" w:type="dxa"/>
            <w:bottom w:w="0" w:type="dxa"/>
            <w:right w:w="0" w:type="dxa"/>
          </w:tblCellMar>
        </w:tblPrEx>
        <w:trPr>
          <w:trHeight w:val="374" w:hRule="atLeast"/>
        </w:trPr>
        <w:tc>
          <w:tcPr>
            <w:tcW w:w="1620" w:type="dxa"/>
            <w:tcBorders>
              <w:top w:val="single" w:color="000000" w:sz="6" w:space="0"/>
              <w:left w:val="double" w:color="000000" w:sz="4" w:space="0"/>
              <w:bottom w:val="single" w:color="000000" w:sz="4" w:space="0"/>
              <w:right w:val="single" w:color="000000" w:sz="6" w:space="0"/>
            </w:tcBorders>
            <w:noWrap w:val="0"/>
            <w:tcMar>
              <w:top w:w="0" w:type="dxa"/>
              <w:left w:w="108" w:type="dxa"/>
              <w:bottom w:w="0" w:type="dxa"/>
              <w:right w:w="108" w:type="dxa"/>
            </w:tcMar>
            <w:vAlign w:val="center"/>
          </w:tcPr>
          <w:p w14:paraId="2FFEC88C">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质量承诺</w:t>
            </w:r>
          </w:p>
        </w:tc>
        <w:tc>
          <w:tcPr>
            <w:tcW w:w="7200" w:type="dxa"/>
            <w:gridSpan w:val="3"/>
            <w:tcBorders>
              <w:top w:val="single" w:color="000000" w:sz="6" w:space="0"/>
              <w:left w:val="single" w:color="000000" w:sz="6" w:space="0"/>
              <w:bottom w:val="single" w:color="000000" w:sz="4" w:space="0"/>
              <w:right w:val="double" w:color="000000" w:sz="4" w:space="0"/>
            </w:tcBorders>
            <w:noWrap w:val="0"/>
            <w:tcMar>
              <w:top w:w="0" w:type="dxa"/>
              <w:left w:w="108" w:type="dxa"/>
              <w:bottom w:w="0" w:type="dxa"/>
              <w:right w:w="108" w:type="dxa"/>
            </w:tcMar>
            <w:vAlign w:val="center"/>
          </w:tcPr>
          <w:p w14:paraId="76776B52">
            <w:pPr>
              <w:snapToGrid w:val="0"/>
              <w:spacing w:line="360" w:lineRule="auto"/>
              <w:rPr>
                <w:rFonts w:ascii="宋体" w:hAnsi="宋体" w:eastAsia="宋体" w:cs="Times New Roman"/>
                <w:color w:val="auto"/>
                <w:kern w:val="0"/>
                <w:szCs w:val="20"/>
                <w:highlight w:val="none"/>
              </w:rPr>
            </w:pPr>
          </w:p>
        </w:tc>
      </w:tr>
      <w:tr w14:paraId="43FA8E13">
        <w:tblPrEx>
          <w:tblCellMar>
            <w:top w:w="0" w:type="dxa"/>
            <w:left w:w="0" w:type="dxa"/>
            <w:bottom w:w="0" w:type="dxa"/>
            <w:right w:w="0" w:type="dxa"/>
          </w:tblCellMar>
        </w:tblPrEx>
        <w:trPr>
          <w:trHeight w:val="262" w:hRule="atLeast"/>
        </w:trPr>
        <w:tc>
          <w:tcPr>
            <w:tcW w:w="1620" w:type="dxa"/>
            <w:tcBorders>
              <w:top w:val="single" w:color="000000" w:sz="4" w:space="0"/>
              <w:left w:val="double" w:color="000000" w:sz="4" w:space="0"/>
              <w:bottom w:val="single" w:color="000000" w:sz="4" w:space="0"/>
              <w:right w:val="single" w:color="000000" w:sz="6" w:space="0"/>
            </w:tcBorders>
            <w:noWrap w:val="0"/>
            <w:tcMar>
              <w:top w:w="0" w:type="dxa"/>
              <w:left w:w="108" w:type="dxa"/>
              <w:bottom w:w="0" w:type="dxa"/>
              <w:right w:w="108" w:type="dxa"/>
            </w:tcMar>
            <w:vAlign w:val="center"/>
          </w:tcPr>
          <w:p w14:paraId="54F34CC5">
            <w:pPr>
              <w:snapToGrid w:val="0"/>
              <w:spacing w:line="360" w:lineRule="auto"/>
              <w:jc w:val="center"/>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保修</w:t>
            </w:r>
            <w:r>
              <w:rPr>
                <w:rFonts w:hint="eastAsia" w:ascii="宋体" w:hAnsi="宋体" w:eastAsia="宋体" w:cs="Times New Roman"/>
                <w:color w:val="auto"/>
                <w:kern w:val="0"/>
                <w:szCs w:val="20"/>
                <w:highlight w:val="none"/>
                <w:lang w:eastAsia="zh-CN"/>
              </w:rPr>
              <w:t>要求</w:t>
            </w:r>
          </w:p>
        </w:tc>
        <w:tc>
          <w:tcPr>
            <w:tcW w:w="7200" w:type="dxa"/>
            <w:gridSpan w:val="3"/>
            <w:tcBorders>
              <w:top w:val="single" w:color="000000" w:sz="4" w:space="0"/>
              <w:left w:val="single" w:color="000000" w:sz="6" w:space="0"/>
              <w:bottom w:val="single" w:color="000000" w:sz="4" w:space="0"/>
              <w:right w:val="double" w:color="000000" w:sz="4" w:space="0"/>
            </w:tcBorders>
            <w:noWrap w:val="0"/>
            <w:tcMar>
              <w:top w:w="0" w:type="dxa"/>
              <w:left w:w="108" w:type="dxa"/>
              <w:bottom w:w="0" w:type="dxa"/>
              <w:right w:w="108" w:type="dxa"/>
            </w:tcMar>
            <w:vAlign w:val="center"/>
          </w:tcPr>
          <w:p w14:paraId="437F24B8">
            <w:pPr>
              <w:snapToGrid w:val="0"/>
              <w:spacing w:line="360" w:lineRule="auto"/>
              <w:rPr>
                <w:rFonts w:ascii="宋体" w:hAnsi="宋体" w:eastAsia="宋体" w:cs="Times New Roman"/>
                <w:color w:val="auto"/>
                <w:kern w:val="0"/>
                <w:szCs w:val="20"/>
                <w:highlight w:val="none"/>
              </w:rPr>
            </w:pPr>
          </w:p>
        </w:tc>
      </w:tr>
      <w:tr w14:paraId="33E44F5D">
        <w:tblPrEx>
          <w:tblCellMar>
            <w:top w:w="0" w:type="dxa"/>
            <w:left w:w="0" w:type="dxa"/>
            <w:bottom w:w="0" w:type="dxa"/>
            <w:right w:w="0" w:type="dxa"/>
          </w:tblCellMar>
        </w:tblPrEx>
        <w:trPr>
          <w:trHeight w:val="327" w:hRule="atLeast"/>
        </w:trPr>
        <w:tc>
          <w:tcPr>
            <w:tcW w:w="1620" w:type="dxa"/>
            <w:tcBorders>
              <w:top w:val="single" w:color="000000" w:sz="4" w:space="0"/>
              <w:left w:val="double" w:color="000000" w:sz="4" w:space="0"/>
              <w:bottom w:val="double" w:color="000000" w:sz="4" w:space="0"/>
              <w:right w:val="single" w:color="000000" w:sz="6" w:space="0"/>
            </w:tcBorders>
            <w:noWrap w:val="0"/>
            <w:tcMar>
              <w:top w:w="0" w:type="dxa"/>
              <w:left w:w="108" w:type="dxa"/>
              <w:bottom w:w="0" w:type="dxa"/>
              <w:right w:w="108" w:type="dxa"/>
            </w:tcMar>
            <w:vAlign w:val="center"/>
          </w:tcPr>
          <w:p w14:paraId="481C3415">
            <w:pPr>
              <w:snapToGrid w:val="0"/>
              <w:spacing w:line="360" w:lineRule="auto"/>
              <w:jc w:val="center"/>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t>备  注</w:t>
            </w:r>
          </w:p>
        </w:tc>
        <w:tc>
          <w:tcPr>
            <w:tcW w:w="7200" w:type="dxa"/>
            <w:gridSpan w:val="3"/>
            <w:tcBorders>
              <w:top w:val="single" w:color="000000" w:sz="4" w:space="0"/>
              <w:left w:val="single" w:color="000000" w:sz="6" w:space="0"/>
              <w:bottom w:val="double" w:color="000000" w:sz="4" w:space="0"/>
              <w:right w:val="double" w:color="000000" w:sz="4" w:space="0"/>
            </w:tcBorders>
            <w:noWrap w:val="0"/>
            <w:tcMar>
              <w:top w:w="0" w:type="dxa"/>
              <w:left w:w="108" w:type="dxa"/>
              <w:bottom w:w="0" w:type="dxa"/>
              <w:right w:w="108" w:type="dxa"/>
            </w:tcMar>
            <w:vAlign w:val="center"/>
          </w:tcPr>
          <w:p w14:paraId="3D6E07B9">
            <w:pPr>
              <w:spacing w:line="360" w:lineRule="auto"/>
              <w:rPr>
                <w:rFonts w:ascii="宋体" w:hAnsi="宋体" w:eastAsia="宋体" w:cs="Times New Roman"/>
                <w:color w:val="auto"/>
                <w:kern w:val="0"/>
                <w:sz w:val="20"/>
                <w:szCs w:val="20"/>
                <w:highlight w:val="none"/>
              </w:rPr>
            </w:pPr>
            <w:r>
              <w:rPr>
                <w:rFonts w:hint="eastAsia" w:ascii="宋体" w:hAnsi="宋体" w:eastAsia="宋体" w:cs="Times New Roman"/>
                <w:color w:val="auto"/>
                <w:kern w:val="0"/>
                <w:szCs w:val="21"/>
                <w:highlight w:val="none"/>
              </w:rPr>
              <w:t>以上报价均需四舍五入保留两位小数点。</w:t>
            </w:r>
          </w:p>
        </w:tc>
      </w:tr>
    </w:tbl>
    <w:p w14:paraId="19CE81A3">
      <w:pPr>
        <w:snapToGrid w:val="0"/>
        <w:spacing w:line="360" w:lineRule="auto"/>
        <w:ind w:right="23"/>
        <w:rPr>
          <w:rFonts w:ascii="宋体" w:hAnsi="宋体" w:eastAsia="宋体" w:cs="Times New Roman"/>
          <w:color w:val="auto"/>
          <w:kern w:val="0"/>
          <w:sz w:val="24"/>
          <w:szCs w:val="20"/>
          <w:highlight w:val="none"/>
        </w:rPr>
      </w:pPr>
    </w:p>
    <w:p w14:paraId="459A0379">
      <w:pPr>
        <w:snapToGrid w:val="0"/>
        <w:spacing w:line="360" w:lineRule="auto"/>
        <w:ind w:right="23"/>
        <w:jc w:val="right"/>
        <w:rPr>
          <w:rFonts w:ascii="宋体" w:hAnsi="宋体" w:eastAsia="宋体" w:cs="Times New Roman"/>
          <w:color w:val="auto"/>
          <w:kern w:val="0"/>
          <w:szCs w:val="20"/>
          <w:highlight w:val="none"/>
        </w:rPr>
      </w:pPr>
    </w:p>
    <w:p w14:paraId="5803F5F1">
      <w:pPr>
        <w:snapToGrid w:val="0"/>
        <w:spacing w:line="360" w:lineRule="atLeast"/>
        <w:rPr>
          <w:rFonts w:hint="eastAsia" w:ascii="宋体" w:hAnsi="宋体" w:eastAsia="宋体" w:cs="Times New Roman"/>
          <w:color w:val="auto"/>
          <w:kern w:val="0"/>
          <w:szCs w:val="20"/>
          <w:highlight w:val="none"/>
          <w:u w:val="single"/>
        </w:rPr>
      </w:pPr>
      <w:r>
        <w:rPr>
          <w:rFonts w:ascii="宋体" w:hAnsi="宋体" w:eastAsia="宋体" w:cs="Times New Roman"/>
          <w:color w:val="auto"/>
          <w:kern w:val="0"/>
          <w:szCs w:val="20"/>
          <w:highlight w:val="none"/>
        </w:rPr>
        <w:t>供应商名称(盖单位章)：</w:t>
      </w:r>
      <w:r>
        <w:rPr>
          <w:rFonts w:hint="eastAsia" w:ascii="宋体" w:hAnsi="宋体" w:eastAsia="宋体" w:cs="Times New Roman"/>
          <w:color w:val="auto"/>
          <w:kern w:val="0"/>
          <w:szCs w:val="20"/>
          <w:highlight w:val="none"/>
          <w:u w:val="single"/>
        </w:rPr>
        <w:t xml:space="preserve">            </w:t>
      </w:r>
    </w:p>
    <w:p w14:paraId="0070710F">
      <w:pPr>
        <w:snapToGrid w:val="0"/>
        <w:spacing w:line="360" w:lineRule="atLeast"/>
        <w:rPr>
          <w:rFonts w:hint="eastAsia" w:ascii="宋体" w:hAnsi="宋体" w:eastAsia="宋体" w:cs="Times New Roman"/>
          <w:color w:val="auto"/>
          <w:kern w:val="0"/>
          <w:szCs w:val="20"/>
          <w:highlight w:val="none"/>
          <w:u w:val="single"/>
        </w:rPr>
      </w:pPr>
      <w:r>
        <w:rPr>
          <w:rFonts w:hint="eastAsia" w:ascii="宋体" w:hAnsi="宋体" w:eastAsia="宋体" w:cs="Times New Roman"/>
          <w:color w:val="auto"/>
          <w:kern w:val="0"/>
          <w:szCs w:val="20"/>
          <w:highlight w:val="none"/>
        </w:rPr>
        <w:t>法定代表人或其委托代理人签字：</w:t>
      </w:r>
      <w:r>
        <w:rPr>
          <w:rFonts w:hint="eastAsia" w:ascii="宋体" w:hAnsi="宋体" w:eastAsia="宋体" w:cs="Times New Roman"/>
          <w:color w:val="auto"/>
          <w:kern w:val="0"/>
          <w:szCs w:val="20"/>
          <w:highlight w:val="none"/>
          <w:u w:val="single"/>
        </w:rPr>
        <w:t xml:space="preserve">            </w:t>
      </w:r>
    </w:p>
    <w:p w14:paraId="57DA1849">
      <w:pPr>
        <w:snapToGrid w:val="0"/>
        <w:spacing w:line="360" w:lineRule="atLeast"/>
        <w:rPr>
          <w:rFonts w:ascii="宋体" w:hAnsi="宋体" w:eastAsia="宋体" w:cs="Times New Roman"/>
          <w:color w:val="auto"/>
          <w:kern w:val="0"/>
          <w:szCs w:val="20"/>
          <w:highlight w:val="none"/>
        </w:rPr>
      </w:pPr>
      <w:r>
        <w:rPr>
          <w:rFonts w:hint="eastAsia" w:ascii="宋体" w:hAnsi="宋体" w:eastAsia="宋体" w:cs="Times New Roman"/>
          <w:color w:val="auto"/>
          <w:kern w:val="0"/>
          <w:szCs w:val="20"/>
          <w:highlight w:val="none"/>
        </w:rPr>
        <w:t>日期：</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年</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月</w:t>
      </w:r>
      <w:r>
        <w:rPr>
          <w:rFonts w:hint="eastAsia" w:ascii="宋体" w:hAnsi="宋体" w:eastAsia="宋体" w:cs="Times New Roman"/>
          <w:color w:val="auto"/>
          <w:kern w:val="0"/>
          <w:szCs w:val="20"/>
          <w:highlight w:val="none"/>
          <w:u w:val="single"/>
        </w:rPr>
        <w:t xml:space="preserve">       </w:t>
      </w:r>
      <w:r>
        <w:rPr>
          <w:rFonts w:hint="eastAsia" w:ascii="宋体" w:hAnsi="宋体" w:eastAsia="宋体" w:cs="Times New Roman"/>
          <w:color w:val="auto"/>
          <w:kern w:val="0"/>
          <w:szCs w:val="20"/>
          <w:highlight w:val="none"/>
        </w:rPr>
        <w:t>日</w:t>
      </w:r>
    </w:p>
    <w:p w14:paraId="36DC37EF">
      <w:pPr>
        <w:snapToGrid w:val="0"/>
        <w:spacing w:line="360" w:lineRule="auto"/>
        <w:ind w:firstLine="803"/>
        <w:jc w:val="center"/>
        <w:rPr>
          <w:rFonts w:ascii="宋体" w:hAnsi="宋体" w:eastAsia="宋体" w:cs="Times New Roman"/>
          <w:color w:val="auto"/>
          <w:kern w:val="0"/>
          <w:szCs w:val="20"/>
          <w:highlight w:val="none"/>
        </w:rPr>
      </w:pPr>
    </w:p>
    <w:p w14:paraId="0E655E6E">
      <w:pPr>
        <w:snapToGrid w:val="0"/>
        <w:spacing w:line="360" w:lineRule="auto"/>
        <w:rPr>
          <w:rFonts w:ascii="宋体" w:hAnsi="宋体" w:eastAsia="宋体" w:cs="Times New Roman"/>
          <w:color w:val="auto"/>
          <w:kern w:val="0"/>
          <w:szCs w:val="20"/>
          <w:highlight w:val="none"/>
        </w:rPr>
      </w:pPr>
      <w:r>
        <w:rPr>
          <w:rFonts w:ascii="宋体" w:hAnsi="宋体" w:eastAsia="宋体" w:cs="Times New Roman"/>
          <w:color w:val="auto"/>
          <w:kern w:val="0"/>
          <w:szCs w:val="20"/>
          <w:highlight w:val="none"/>
        </w:rPr>
        <w:br w:type="page"/>
      </w:r>
    </w:p>
    <w:p w14:paraId="376CB0DE">
      <w:pPr>
        <w:snapToGrid w:val="0"/>
        <w:spacing w:line="360" w:lineRule="auto"/>
        <w:ind w:firstLine="157" w:firstLineChars="49"/>
        <w:jc w:val="center"/>
        <w:rPr>
          <w:rFonts w:ascii="宋体" w:hAnsi="宋体" w:eastAsia="宋体"/>
          <w:b/>
          <w:color w:val="auto"/>
          <w:sz w:val="32"/>
          <w:highlight w:val="none"/>
        </w:rPr>
        <w:sectPr>
          <w:footerReference r:id="rId9" w:type="default"/>
          <w:pgSz w:w="11906" w:h="16838"/>
          <w:pgMar w:top="1440" w:right="1531" w:bottom="1440" w:left="1531" w:header="851" w:footer="992" w:gutter="0"/>
          <w:pgNumType w:fmt="decimal"/>
          <w:cols w:space="720" w:num="1"/>
          <w:docGrid w:linePitch="360" w:charSpace="0"/>
        </w:sectPr>
      </w:pPr>
      <w:r>
        <w:rPr>
          <w:rFonts w:hint="eastAsia" w:ascii="宋体" w:hAnsi="宋体" w:eastAsia="宋体" w:cs="Times New Roman"/>
          <w:b/>
          <w:color w:val="auto"/>
          <w:kern w:val="0"/>
          <w:sz w:val="32"/>
          <w:szCs w:val="20"/>
          <w:highlight w:val="none"/>
        </w:rPr>
        <w:t>八、供应商认为需要提供的其它资料</w:t>
      </w:r>
    </w:p>
    <w:p w14:paraId="3CB80D21">
      <w:pPr>
        <w:rPr>
          <w:rFonts w:hint="eastAsia" w:ascii="宋体" w:hAnsi="宋体" w:eastAsia="宋体" w:cs="Times New Roman"/>
          <w:b/>
          <w:color w:val="auto"/>
          <w:kern w:val="0"/>
          <w:sz w:val="32"/>
          <w:szCs w:val="20"/>
          <w:highlight w:val="none"/>
        </w:rPr>
      </w:pPr>
      <w:r>
        <w:rPr>
          <w:rFonts w:hint="eastAsia" w:ascii="宋体" w:hAnsi="宋体" w:eastAsia="宋体" w:cs="Times New Roman"/>
          <w:b/>
          <w:color w:val="auto"/>
          <w:kern w:val="0"/>
          <w:sz w:val="32"/>
          <w:szCs w:val="20"/>
          <w:highlight w:val="none"/>
        </w:rPr>
        <w:br w:type="page"/>
      </w:r>
    </w:p>
    <w:p w14:paraId="7F8DE1E8">
      <w:pPr>
        <w:snapToGrid w:val="0"/>
        <w:spacing w:before="157" w:line="360" w:lineRule="auto"/>
        <w:jc w:val="center"/>
        <w:rPr>
          <w:rFonts w:ascii="宋体" w:hAnsi="宋体" w:eastAsia="宋体" w:cs="Times New Roman"/>
          <w:b/>
          <w:color w:val="auto"/>
          <w:kern w:val="0"/>
          <w:sz w:val="32"/>
          <w:szCs w:val="20"/>
          <w:highlight w:val="none"/>
        </w:rPr>
      </w:pPr>
      <w:r>
        <w:rPr>
          <w:rFonts w:hint="eastAsia" w:ascii="宋体" w:hAnsi="宋体" w:eastAsia="宋体" w:cs="Times New Roman"/>
          <w:b/>
          <w:color w:val="auto"/>
          <w:kern w:val="0"/>
          <w:sz w:val="32"/>
          <w:szCs w:val="20"/>
          <w:highlight w:val="none"/>
        </w:rPr>
        <w:t>九、最后报价</w:t>
      </w:r>
    </w:p>
    <w:p w14:paraId="42D4448A">
      <w:pPr>
        <w:spacing w:before="120" w:beforeLines="50" w:after="120" w:afterLines="50"/>
        <w:jc w:val="center"/>
        <w:rPr>
          <w:rFonts w:ascii="宋体" w:hAnsi="Times New Roman"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t>最后报价</w:t>
      </w:r>
    </w:p>
    <w:tbl>
      <w:tblPr>
        <w:tblStyle w:val="26"/>
        <w:tblW w:w="9243"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8"/>
        <w:gridCol w:w="2886"/>
        <w:gridCol w:w="1733"/>
        <w:gridCol w:w="2416"/>
      </w:tblGrid>
      <w:tr w14:paraId="272C06F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08" w:type="dxa"/>
            <w:vMerge w:val="restart"/>
            <w:tcBorders>
              <w:top w:val="double" w:color="auto" w:sz="4" w:space="0"/>
            </w:tcBorders>
            <w:noWrap w:val="0"/>
            <w:vAlign w:val="center"/>
          </w:tcPr>
          <w:p w14:paraId="67CC3A7F">
            <w:pPr>
              <w:tabs>
                <w:tab w:val="left" w:pos="403"/>
                <w:tab w:val="center" w:pos="3781"/>
              </w:tabs>
              <w:snapToGrid w:val="0"/>
              <w:spacing w:line="360" w:lineRule="auto"/>
              <w:ind w:right="-5206" w:rightChars="0" w:firstLine="210" w:firstLineChars="0"/>
              <w:rPr>
                <w:rFonts w:ascii="宋体" w:hAnsi="Times New Roman" w:eastAsia="宋体" w:cs="宋体"/>
                <w:color w:val="auto"/>
                <w:kern w:val="0"/>
                <w:sz w:val="28"/>
                <w:szCs w:val="28"/>
                <w:highlight w:val="none"/>
              </w:rPr>
            </w:pPr>
            <w:r>
              <w:rPr>
                <w:rFonts w:ascii="宋体" w:hAnsi="宋体" w:eastAsia="宋体" w:cs="Times New Roman"/>
                <w:color w:val="auto"/>
                <w:kern w:val="0"/>
                <w:szCs w:val="20"/>
                <w:highlight w:val="none"/>
              </w:rPr>
              <w:t>项目名称</w:t>
            </w:r>
            <w:r>
              <w:rPr>
                <w:rFonts w:ascii="宋体" w:hAnsi="宋体" w:eastAsia="宋体" w:cs="Times New Roman"/>
                <w:color w:val="auto"/>
                <w:kern w:val="0"/>
                <w:szCs w:val="20"/>
                <w:highlight w:val="none"/>
              </w:rPr>
              <w:tab/>
            </w:r>
            <w:r>
              <w:rPr>
                <w:rFonts w:ascii="宋体" w:hAnsi="宋体" w:eastAsia="宋体" w:cs="Times New Roman"/>
                <w:color w:val="auto"/>
                <w:kern w:val="0"/>
                <w:szCs w:val="20"/>
                <w:highlight w:val="none"/>
              </w:rPr>
              <w:t>项目名称</w:t>
            </w:r>
          </w:p>
        </w:tc>
        <w:tc>
          <w:tcPr>
            <w:tcW w:w="2886" w:type="dxa"/>
            <w:vMerge w:val="restart"/>
            <w:tcBorders>
              <w:top w:val="double" w:color="auto" w:sz="4" w:space="0"/>
            </w:tcBorders>
            <w:noWrap w:val="0"/>
            <w:vAlign w:val="center"/>
          </w:tcPr>
          <w:p w14:paraId="5C765E03">
            <w:pPr>
              <w:jc w:val="center"/>
              <w:rPr>
                <w:rFonts w:ascii="宋体" w:hAnsi="宋体" w:eastAsia="宋体" w:cs="宋体"/>
                <w:color w:val="auto"/>
                <w:kern w:val="0"/>
                <w:szCs w:val="20"/>
                <w:highlight w:val="none"/>
              </w:rPr>
            </w:pPr>
            <w:r>
              <w:rPr>
                <w:rFonts w:hint="eastAsia" w:ascii="宋体" w:hAnsi="宋体" w:cs="宋体"/>
                <w:color w:val="auto"/>
                <w:kern w:val="0"/>
                <w:szCs w:val="20"/>
                <w:highlight w:val="none"/>
                <w:lang w:eastAsia="zh-CN"/>
              </w:rPr>
              <w:t>芙蓉生态新城六号安置小区东地块（一期）外墙防水工程</w:t>
            </w:r>
            <w:r>
              <w:rPr>
                <w:rFonts w:hint="eastAsia" w:ascii="宋体" w:hAnsi="宋体" w:eastAsia="宋体" w:cs="宋体"/>
                <w:color w:val="auto"/>
                <w:kern w:val="0"/>
                <w:szCs w:val="20"/>
                <w:highlight w:val="none"/>
              </w:rPr>
              <w:t>项目</w:t>
            </w:r>
          </w:p>
        </w:tc>
        <w:tc>
          <w:tcPr>
            <w:tcW w:w="1733" w:type="dxa"/>
            <w:tcBorders>
              <w:top w:val="double" w:color="auto" w:sz="4" w:space="0"/>
            </w:tcBorders>
            <w:noWrap w:val="0"/>
            <w:vAlign w:val="center"/>
          </w:tcPr>
          <w:p w14:paraId="014A43A4">
            <w:pPr>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采购编号</w:t>
            </w:r>
          </w:p>
        </w:tc>
        <w:tc>
          <w:tcPr>
            <w:tcW w:w="2416" w:type="dxa"/>
            <w:tcBorders>
              <w:top w:val="double" w:color="auto" w:sz="4" w:space="0"/>
            </w:tcBorders>
            <w:noWrap w:val="0"/>
            <w:vAlign w:val="center"/>
          </w:tcPr>
          <w:p w14:paraId="38F1B3C1">
            <w:pPr>
              <w:jc w:val="center"/>
              <w:rPr>
                <w:rFonts w:ascii="宋体" w:hAnsi="宋体" w:eastAsia="宋体" w:cs="宋体"/>
                <w:color w:val="auto"/>
                <w:kern w:val="0"/>
                <w:szCs w:val="20"/>
                <w:highlight w:val="none"/>
              </w:rPr>
            </w:pPr>
          </w:p>
        </w:tc>
      </w:tr>
      <w:tr w14:paraId="318A722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08" w:type="dxa"/>
            <w:vMerge w:val="continue"/>
            <w:noWrap w:val="0"/>
            <w:vAlign w:val="top"/>
          </w:tcPr>
          <w:p w14:paraId="10F57F1F">
            <w:pPr>
              <w:jc w:val="center"/>
              <w:rPr>
                <w:rFonts w:ascii="宋体" w:hAnsi="Times New Roman" w:eastAsia="宋体" w:cs="宋体"/>
                <w:color w:val="auto"/>
                <w:kern w:val="0"/>
                <w:sz w:val="28"/>
                <w:szCs w:val="28"/>
                <w:highlight w:val="none"/>
              </w:rPr>
            </w:pPr>
          </w:p>
        </w:tc>
        <w:tc>
          <w:tcPr>
            <w:tcW w:w="2886" w:type="dxa"/>
            <w:vMerge w:val="continue"/>
            <w:noWrap w:val="0"/>
            <w:vAlign w:val="center"/>
          </w:tcPr>
          <w:p w14:paraId="191270D0">
            <w:pPr>
              <w:jc w:val="center"/>
              <w:rPr>
                <w:rFonts w:ascii="宋体" w:hAnsi="宋体" w:eastAsia="宋体" w:cs="宋体"/>
                <w:color w:val="auto"/>
                <w:kern w:val="0"/>
                <w:szCs w:val="20"/>
                <w:highlight w:val="none"/>
              </w:rPr>
            </w:pPr>
          </w:p>
        </w:tc>
        <w:tc>
          <w:tcPr>
            <w:tcW w:w="1733" w:type="dxa"/>
            <w:noWrap w:val="0"/>
            <w:vAlign w:val="center"/>
          </w:tcPr>
          <w:p w14:paraId="0DEB6EFE">
            <w:pPr>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委托</w:t>
            </w:r>
            <w:r>
              <w:rPr>
                <w:rFonts w:hint="eastAsia" w:ascii="宋体" w:hAnsi="宋体" w:eastAsia="宋体" w:cs="宋体"/>
                <w:color w:val="auto"/>
                <w:kern w:val="0"/>
                <w:szCs w:val="20"/>
                <w:highlight w:val="none"/>
              </w:rPr>
              <w:t>代理编号</w:t>
            </w:r>
          </w:p>
        </w:tc>
        <w:tc>
          <w:tcPr>
            <w:tcW w:w="2416" w:type="dxa"/>
            <w:noWrap w:val="0"/>
            <w:vAlign w:val="center"/>
          </w:tcPr>
          <w:p w14:paraId="2D8F0514">
            <w:pPr>
              <w:jc w:val="center"/>
              <w:rPr>
                <w:rFonts w:ascii="宋体" w:hAnsi="宋体" w:eastAsia="宋体" w:cs="宋体"/>
                <w:color w:val="auto"/>
                <w:kern w:val="0"/>
                <w:szCs w:val="20"/>
                <w:highlight w:val="none"/>
              </w:rPr>
            </w:pPr>
          </w:p>
        </w:tc>
      </w:tr>
      <w:tr w14:paraId="358C778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08" w:type="dxa"/>
            <w:noWrap w:val="0"/>
            <w:vAlign w:val="center"/>
          </w:tcPr>
          <w:p w14:paraId="22C06B5B">
            <w:pPr>
              <w:snapToGrid w:val="0"/>
              <w:spacing w:line="360" w:lineRule="auto"/>
              <w:jc w:val="center"/>
              <w:rPr>
                <w:rFonts w:ascii="宋体" w:hAnsi="Times New Roman" w:eastAsia="宋体" w:cs="宋体"/>
                <w:color w:val="auto"/>
                <w:kern w:val="0"/>
                <w:szCs w:val="21"/>
                <w:highlight w:val="none"/>
              </w:rPr>
            </w:pPr>
            <w:r>
              <w:rPr>
                <w:rFonts w:hint="eastAsia" w:ascii="宋体" w:hAnsi="宋体" w:eastAsia="宋体" w:cs="Times New Roman"/>
                <w:color w:val="auto"/>
                <w:kern w:val="0"/>
                <w:szCs w:val="20"/>
                <w:highlight w:val="none"/>
              </w:rPr>
              <w:t>工程范围</w:t>
            </w:r>
          </w:p>
        </w:tc>
        <w:tc>
          <w:tcPr>
            <w:tcW w:w="7035" w:type="dxa"/>
            <w:gridSpan w:val="3"/>
            <w:noWrap w:val="0"/>
            <w:vAlign w:val="center"/>
          </w:tcPr>
          <w:p w14:paraId="0DCB169A">
            <w:pPr>
              <w:jc w:val="center"/>
              <w:rPr>
                <w:rFonts w:ascii="宋体" w:hAnsi="宋体" w:eastAsia="宋体" w:cs="宋体"/>
                <w:color w:val="auto"/>
                <w:kern w:val="0"/>
                <w:szCs w:val="20"/>
                <w:highlight w:val="none"/>
              </w:rPr>
            </w:pPr>
          </w:p>
        </w:tc>
      </w:tr>
      <w:tr w14:paraId="191563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2208" w:type="dxa"/>
            <w:noWrap w:val="0"/>
            <w:vAlign w:val="center"/>
          </w:tcPr>
          <w:p w14:paraId="62990069">
            <w:pPr>
              <w:snapToGrid w:val="0"/>
              <w:spacing w:line="360" w:lineRule="auto"/>
              <w:jc w:val="center"/>
              <w:rPr>
                <w:rFonts w:ascii="宋体" w:hAnsi="Times New Roman" w:eastAsia="宋体" w:cs="宋体"/>
                <w:color w:val="auto"/>
                <w:kern w:val="0"/>
                <w:szCs w:val="21"/>
                <w:highlight w:val="none"/>
              </w:rPr>
            </w:pPr>
            <w:r>
              <w:rPr>
                <w:rFonts w:hint="eastAsia" w:ascii="宋体" w:hAnsi="宋体" w:eastAsia="宋体" w:cs="Times New Roman"/>
                <w:color w:val="auto"/>
                <w:kern w:val="0"/>
                <w:szCs w:val="20"/>
                <w:highlight w:val="none"/>
              </w:rPr>
              <w:t>磋商</w:t>
            </w:r>
            <w:r>
              <w:rPr>
                <w:rFonts w:ascii="宋体" w:hAnsi="宋体" w:eastAsia="宋体" w:cs="Times New Roman"/>
                <w:color w:val="auto"/>
                <w:kern w:val="0"/>
                <w:szCs w:val="20"/>
                <w:highlight w:val="none"/>
              </w:rPr>
              <w:t>报价</w:t>
            </w:r>
          </w:p>
        </w:tc>
        <w:tc>
          <w:tcPr>
            <w:tcW w:w="7035" w:type="dxa"/>
            <w:gridSpan w:val="3"/>
            <w:noWrap w:val="0"/>
            <w:vAlign w:val="center"/>
          </w:tcPr>
          <w:p w14:paraId="1AA384F6">
            <w:pPr>
              <w:spacing w:before="120" w:beforeLines="50" w:line="360" w:lineRule="exact"/>
              <w:rPr>
                <w:rFonts w:ascii="宋体" w:hAnsi="Times New Roman" w:eastAsia="宋体" w:cs="宋体"/>
                <w:color w:val="auto"/>
                <w:kern w:val="0"/>
                <w:szCs w:val="21"/>
                <w:highlight w:val="none"/>
              </w:rPr>
            </w:pPr>
            <w:r>
              <w:rPr>
                <w:rFonts w:hint="eastAsia" w:ascii="宋体" w:hAnsi="宋体" w:eastAsia="宋体" w:cs="宋体"/>
                <w:color w:val="auto"/>
                <w:kern w:val="0"/>
                <w:szCs w:val="20"/>
                <w:highlight w:val="none"/>
              </w:rPr>
              <w:t>大写：</w:t>
            </w:r>
            <w:r>
              <w:rPr>
                <w:rFonts w:hint="eastAsia" w:ascii="宋体" w:hAnsi="宋体" w:eastAsia="宋体" w:cs="宋体"/>
                <w:color w:val="auto"/>
                <w:kern w:val="0"/>
                <w:szCs w:val="20"/>
                <w:highlight w:val="none"/>
                <w:u w:val="single"/>
              </w:rPr>
              <w:t xml:space="preserve">                </w:t>
            </w:r>
            <w:r>
              <w:rPr>
                <w:rFonts w:hint="eastAsia" w:ascii="宋体" w:hAnsi="宋体" w:eastAsia="宋体" w:cs="宋体"/>
                <w:color w:val="auto"/>
                <w:kern w:val="0"/>
                <w:szCs w:val="20"/>
                <w:highlight w:val="none"/>
              </w:rPr>
              <w:t>元人民币整</w:t>
            </w:r>
          </w:p>
          <w:p w14:paraId="789579B6">
            <w:pPr>
              <w:spacing w:before="120" w:beforeLines="50" w:line="360" w:lineRule="exact"/>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小写：</w:t>
            </w:r>
            <w:r>
              <w:rPr>
                <w:rFonts w:hint="eastAsia" w:ascii="宋体" w:hAnsi="宋体" w:eastAsia="宋体" w:cs="宋体"/>
                <w:color w:val="auto"/>
                <w:kern w:val="0"/>
                <w:szCs w:val="20"/>
                <w:highlight w:val="none"/>
                <w:u w:val="single"/>
              </w:rPr>
              <w:t xml:space="preserve">                </w:t>
            </w:r>
            <w:r>
              <w:rPr>
                <w:rFonts w:hint="eastAsia" w:ascii="宋体" w:hAnsi="宋体" w:eastAsia="宋体" w:cs="宋体"/>
                <w:color w:val="auto"/>
                <w:kern w:val="0"/>
                <w:szCs w:val="20"/>
                <w:highlight w:val="none"/>
              </w:rPr>
              <w:t>元人民币整</w:t>
            </w:r>
          </w:p>
          <w:p w14:paraId="797C0F6C">
            <w:pPr>
              <w:rPr>
                <w:rFonts w:ascii="Times New Roman" w:hAnsi="Times New Roman" w:eastAsia="宋体" w:cs="Times New Roman"/>
                <w:color w:val="auto"/>
                <w:kern w:val="0"/>
                <w:szCs w:val="20"/>
                <w:highlight w:val="none"/>
              </w:rPr>
            </w:pPr>
          </w:p>
        </w:tc>
      </w:tr>
      <w:tr w14:paraId="47FABF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08" w:type="dxa"/>
            <w:noWrap w:val="0"/>
            <w:vAlign w:val="center"/>
          </w:tcPr>
          <w:p w14:paraId="50F7A7E8">
            <w:pPr>
              <w:snapToGrid w:val="0"/>
              <w:spacing w:line="360" w:lineRule="auto"/>
              <w:jc w:val="center"/>
              <w:rPr>
                <w:rFonts w:ascii="宋体" w:hAnsi="Times New Roman" w:eastAsia="宋体" w:cs="宋体"/>
                <w:color w:val="auto"/>
                <w:kern w:val="0"/>
                <w:szCs w:val="21"/>
                <w:highlight w:val="none"/>
              </w:rPr>
            </w:pPr>
            <w:r>
              <w:rPr>
                <w:rFonts w:hint="eastAsia" w:ascii="宋体" w:hAnsi="宋体" w:eastAsia="宋体" w:cs="Times New Roman"/>
                <w:color w:val="auto"/>
                <w:kern w:val="0"/>
                <w:szCs w:val="20"/>
                <w:highlight w:val="none"/>
              </w:rPr>
              <w:t>工期</w:t>
            </w:r>
          </w:p>
        </w:tc>
        <w:tc>
          <w:tcPr>
            <w:tcW w:w="7035" w:type="dxa"/>
            <w:gridSpan w:val="3"/>
            <w:noWrap w:val="0"/>
            <w:vAlign w:val="center"/>
          </w:tcPr>
          <w:p w14:paraId="080E3647">
            <w:pPr>
              <w:rPr>
                <w:rFonts w:ascii="宋体" w:hAnsi="Times New Roman" w:eastAsia="宋体" w:cs="宋体"/>
                <w:color w:val="auto"/>
                <w:kern w:val="0"/>
                <w:sz w:val="28"/>
                <w:szCs w:val="28"/>
                <w:highlight w:val="none"/>
              </w:rPr>
            </w:pPr>
          </w:p>
        </w:tc>
      </w:tr>
      <w:tr w14:paraId="3EEFB0A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08" w:type="dxa"/>
            <w:noWrap w:val="0"/>
            <w:vAlign w:val="center"/>
          </w:tcPr>
          <w:p w14:paraId="4929A55B">
            <w:pPr>
              <w:snapToGrid w:val="0"/>
              <w:spacing w:line="360" w:lineRule="auto"/>
              <w:jc w:val="center"/>
              <w:rPr>
                <w:rFonts w:hint="eastAsia" w:ascii="宋体" w:hAnsi="宋体" w:eastAsia="宋体" w:cs="宋体"/>
                <w:color w:val="auto"/>
                <w:kern w:val="0"/>
                <w:szCs w:val="20"/>
                <w:highlight w:val="none"/>
              </w:rPr>
            </w:pPr>
            <w:r>
              <w:rPr>
                <w:rFonts w:hint="eastAsia" w:ascii="宋体" w:hAnsi="宋体" w:eastAsia="宋体" w:cs="Times New Roman"/>
                <w:color w:val="auto"/>
                <w:kern w:val="0"/>
                <w:szCs w:val="20"/>
                <w:highlight w:val="none"/>
              </w:rPr>
              <w:t>项目负责人</w:t>
            </w:r>
          </w:p>
        </w:tc>
        <w:tc>
          <w:tcPr>
            <w:tcW w:w="7035" w:type="dxa"/>
            <w:gridSpan w:val="3"/>
            <w:noWrap w:val="0"/>
            <w:vAlign w:val="center"/>
          </w:tcPr>
          <w:p w14:paraId="2ED062D9">
            <w:pPr>
              <w:rPr>
                <w:rFonts w:ascii="宋体" w:hAnsi="Times New Roman" w:eastAsia="宋体" w:cs="宋体"/>
                <w:color w:val="auto"/>
                <w:kern w:val="0"/>
                <w:sz w:val="28"/>
                <w:szCs w:val="28"/>
                <w:highlight w:val="none"/>
              </w:rPr>
            </w:pPr>
          </w:p>
        </w:tc>
      </w:tr>
      <w:tr w14:paraId="1E9632E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08" w:type="dxa"/>
            <w:noWrap w:val="0"/>
            <w:vAlign w:val="center"/>
          </w:tcPr>
          <w:p w14:paraId="20154252">
            <w:pPr>
              <w:snapToGrid w:val="0"/>
              <w:spacing w:line="360" w:lineRule="auto"/>
              <w:jc w:val="center"/>
              <w:rPr>
                <w:rFonts w:hint="eastAsia" w:ascii="宋体" w:hAnsi="宋体" w:eastAsia="宋体" w:cs="宋体"/>
                <w:color w:val="auto"/>
                <w:kern w:val="0"/>
                <w:szCs w:val="20"/>
                <w:highlight w:val="none"/>
              </w:rPr>
            </w:pPr>
            <w:r>
              <w:rPr>
                <w:rFonts w:hint="eastAsia" w:ascii="宋体" w:hAnsi="宋体" w:eastAsia="宋体" w:cs="Times New Roman"/>
                <w:color w:val="auto"/>
                <w:kern w:val="0"/>
                <w:szCs w:val="20"/>
                <w:highlight w:val="none"/>
              </w:rPr>
              <w:t>质量承诺</w:t>
            </w:r>
          </w:p>
        </w:tc>
        <w:tc>
          <w:tcPr>
            <w:tcW w:w="7035" w:type="dxa"/>
            <w:gridSpan w:val="3"/>
            <w:noWrap w:val="0"/>
            <w:vAlign w:val="center"/>
          </w:tcPr>
          <w:p w14:paraId="1A633130">
            <w:pPr>
              <w:rPr>
                <w:rFonts w:ascii="宋体" w:hAnsi="Times New Roman" w:eastAsia="宋体" w:cs="宋体"/>
                <w:color w:val="auto"/>
                <w:kern w:val="0"/>
                <w:sz w:val="28"/>
                <w:szCs w:val="28"/>
                <w:highlight w:val="none"/>
              </w:rPr>
            </w:pPr>
          </w:p>
        </w:tc>
      </w:tr>
      <w:tr w14:paraId="5FA2D9D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2208" w:type="dxa"/>
            <w:noWrap w:val="0"/>
            <w:vAlign w:val="center"/>
          </w:tcPr>
          <w:p w14:paraId="598D7B0E">
            <w:pPr>
              <w:snapToGrid w:val="0"/>
              <w:spacing w:line="360" w:lineRule="auto"/>
              <w:jc w:val="center"/>
              <w:rPr>
                <w:rFonts w:ascii="宋体" w:hAnsi="Times New Roman" w:eastAsia="宋体" w:cs="宋体"/>
                <w:color w:val="auto"/>
                <w:kern w:val="0"/>
                <w:szCs w:val="21"/>
                <w:highlight w:val="none"/>
              </w:rPr>
            </w:pPr>
            <w:r>
              <w:rPr>
                <w:rFonts w:hint="eastAsia" w:ascii="宋体" w:hAnsi="宋体" w:eastAsia="宋体" w:cs="Times New Roman"/>
                <w:color w:val="auto"/>
                <w:kern w:val="0"/>
                <w:szCs w:val="20"/>
                <w:highlight w:val="none"/>
              </w:rPr>
              <w:t>保修</w:t>
            </w:r>
            <w:r>
              <w:rPr>
                <w:rFonts w:hint="eastAsia" w:ascii="宋体" w:hAnsi="宋体" w:eastAsia="宋体" w:cs="Times New Roman"/>
                <w:color w:val="auto"/>
                <w:kern w:val="0"/>
                <w:szCs w:val="20"/>
                <w:highlight w:val="none"/>
                <w:lang w:eastAsia="zh-CN"/>
              </w:rPr>
              <w:t>要求</w:t>
            </w:r>
          </w:p>
        </w:tc>
        <w:tc>
          <w:tcPr>
            <w:tcW w:w="7035" w:type="dxa"/>
            <w:gridSpan w:val="3"/>
            <w:noWrap w:val="0"/>
            <w:vAlign w:val="center"/>
          </w:tcPr>
          <w:p w14:paraId="3E43BAA9">
            <w:pPr>
              <w:pStyle w:val="2"/>
              <w:rPr>
                <w:rFonts w:hint="eastAsia" w:eastAsia="宋体"/>
                <w:color w:val="auto"/>
                <w:highlight w:val="none"/>
                <w:lang w:val="en-US" w:eastAsia="zh-CN"/>
              </w:rPr>
            </w:pPr>
          </w:p>
        </w:tc>
      </w:tr>
      <w:tr w14:paraId="20C4C3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2208" w:type="dxa"/>
            <w:tcBorders>
              <w:bottom w:val="double" w:color="auto" w:sz="4" w:space="0"/>
            </w:tcBorders>
            <w:noWrap w:val="0"/>
            <w:vAlign w:val="center"/>
          </w:tcPr>
          <w:p w14:paraId="5AC260FF">
            <w:pPr>
              <w:snapToGrid w:val="0"/>
              <w:spacing w:line="360" w:lineRule="auto"/>
              <w:jc w:val="center"/>
              <w:rPr>
                <w:rFonts w:ascii="宋体" w:hAnsi="宋体" w:eastAsia="宋体" w:cs="宋体"/>
                <w:color w:val="auto"/>
                <w:kern w:val="0"/>
                <w:szCs w:val="20"/>
                <w:highlight w:val="none"/>
              </w:rPr>
            </w:pPr>
            <w:r>
              <w:rPr>
                <w:rFonts w:ascii="宋体" w:hAnsi="宋体" w:eastAsia="宋体" w:cs="Times New Roman"/>
                <w:color w:val="auto"/>
                <w:kern w:val="0"/>
                <w:szCs w:val="20"/>
                <w:highlight w:val="none"/>
              </w:rPr>
              <w:t>备  注</w:t>
            </w:r>
          </w:p>
        </w:tc>
        <w:tc>
          <w:tcPr>
            <w:tcW w:w="7035" w:type="dxa"/>
            <w:gridSpan w:val="3"/>
            <w:tcBorders>
              <w:bottom w:val="double" w:color="auto" w:sz="4" w:space="0"/>
            </w:tcBorders>
            <w:noWrap w:val="0"/>
            <w:vAlign w:val="center"/>
          </w:tcPr>
          <w:p w14:paraId="65EACD76">
            <w:pPr>
              <w:spacing w:before="120" w:beforeLines="50" w:after="120" w:afterLines="50" w:line="360" w:lineRule="exact"/>
              <w:ind w:left="315" w:hanging="315" w:hangingChars="15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1、</w:t>
            </w:r>
            <w:r>
              <w:rPr>
                <w:rFonts w:hint="eastAsia" w:ascii="宋体" w:hAnsi="宋体" w:eastAsia="宋体" w:cs="宋体"/>
                <w:b/>
                <w:bCs/>
                <w:color w:val="auto"/>
                <w:kern w:val="0"/>
                <w:szCs w:val="21"/>
                <w:highlight w:val="none"/>
              </w:rPr>
              <w:t>最后报价须提供胶装的工程量清单，封面、骑缝加盖供应商单位公章</w:t>
            </w:r>
            <w:r>
              <w:rPr>
                <w:rFonts w:hint="eastAsia" w:ascii="宋体" w:hAnsi="宋体" w:eastAsia="宋体" w:cs="宋体"/>
                <w:color w:val="auto"/>
                <w:kern w:val="0"/>
                <w:szCs w:val="21"/>
                <w:highlight w:val="none"/>
              </w:rPr>
              <w:t>。</w:t>
            </w:r>
          </w:p>
          <w:p w14:paraId="15E9BB55">
            <w:pPr>
              <w:spacing w:before="120" w:beforeLines="50" w:after="120" w:afterLines="50" w:line="360" w:lineRule="exact"/>
              <w:ind w:left="315" w:hanging="315" w:hangingChars="150"/>
              <w:rPr>
                <w:rFonts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eastAsia="宋体" w:cs="Times New Roman"/>
                <w:color w:val="auto"/>
                <w:kern w:val="0"/>
                <w:szCs w:val="21"/>
                <w:highlight w:val="none"/>
              </w:rPr>
              <w:t>以上报价均需四舍五入保留两位小数点。</w:t>
            </w:r>
          </w:p>
        </w:tc>
      </w:tr>
    </w:tbl>
    <w:p w14:paraId="57D9D71E">
      <w:pPr>
        <w:adjustRightInd w:val="0"/>
        <w:snapToGrid w:val="0"/>
        <w:jc w:val="right"/>
        <w:rPr>
          <w:rFonts w:ascii="宋体" w:hAnsi="Times New Roman" w:eastAsia="宋体" w:cs="宋体"/>
          <w:color w:val="auto"/>
          <w:kern w:val="0"/>
          <w:szCs w:val="21"/>
          <w:highlight w:val="none"/>
        </w:rPr>
      </w:pPr>
    </w:p>
    <w:p w14:paraId="16873011">
      <w:pPr>
        <w:adjustRightInd w:val="0"/>
        <w:snapToGrid w:val="0"/>
        <w:spacing w:line="360" w:lineRule="auto"/>
        <w:rPr>
          <w:rFonts w:ascii="宋体" w:hAnsi="Times New Roman" w:eastAsia="宋体" w:cs="宋体"/>
          <w:color w:val="auto"/>
          <w:kern w:val="0"/>
          <w:szCs w:val="21"/>
          <w:highlight w:val="none"/>
        </w:rPr>
      </w:pPr>
      <w:r>
        <w:rPr>
          <w:rFonts w:hint="eastAsia" w:ascii="宋体" w:hAnsi="宋体" w:eastAsia="宋体" w:cs="宋体"/>
          <w:color w:val="auto"/>
          <w:kern w:val="0"/>
          <w:szCs w:val="21"/>
          <w:highlight w:val="none"/>
        </w:rPr>
        <w:t>说明：</w:t>
      </w:r>
    </w:p>
    <w:p w14:paraId="029F08E9">
      <w:pPr>
        <w:adjustRightInd w:val="0"/>
        <w:snapToGrid w:val="0"/>
        <w:spacing w:line="360" w:lineRule="auto"/>
        <w:ind w:firstLine="525" w:firstLineChars="250"/>
        <w:rPr>
          <w:rFonts w:ascii="宋体" w:hAnsi="Times New Roman" w:eastAsia="宋体" w:cs="宋体"/>
          <w:color w:val="auto"/>
          <w:kern w:val="0"/>
          <w:szCs w:val="21"/>
          <w:highlight w:val="none"/>
        </w:rPr>
      </w:pPr>
      <w:r>
        <w:rPr>
          <w:rFonts w:ascii="宋体" w:hAnsi="宋体" w:eastAsia="宋体" w:cs="宋体"/>
          <w:color w:val="auto"/>
          <w:kern w:val="0"/>
          <w:szCs w:val="21"/>
          <w:highlight w:val="none"/>
        </w:rPr>
        <w:t xml:space="preserve">1. </w:t>
      </w:r>
      <w:r>
        <w:rPr>
          <w:rFonts w:hint="eastAsia" w:ascii="宋体" w:hAnsi="宋体" w:eastAsia="宋体" w:cs="宋体"/>
          <w:b/>
          <w:color w:val="auto"/>
          <w:kern w:val="0"/>
          <w:szCs w:val="21"/>
          <w:highlight w:val="none"/>
        </w:rPr>
        <w:t>此报价不放在响应文件中，磋商现场根据磋商小组的要求提供。</w:t>
      </w:r>
    </w:p>
    <w:p w14:paraId="13DC4289">
      <w:pPr>
        <w:adjustRightInd w:val="0"/>
        <w:snapToGrid w:val="0"/>
        <w:spacing w:line="360" w:lineRule="auto"/>
        <w:ind w:firstLine="527" w:firstLineChars="250"/>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 磋商文件未发生改变，最后报价不得高于上一轮的报价。</w:t>
      </w:r>
    </w:p>
    <w:p w14:paraId="1FE23546">
      <w:pPr>
        <w:adjustRightInd w:val="0"/>
        <w:snapToGrid w:val="0"/>
        <w:spacing w:line="360" w:lineRule="auto"/>
        <w:ind w:firstLine="514" w:firstLineChars="245"/>
        <w:rPr>
          <w:rFonts w:ascii="宋体" w:hAnsi="Times New Roman" w:eastAsia="宋体" w:cs="宋体"/>
          <w:color w:val="auto"/>
          <w:kern w:val="0"/>
          <w:szCs w:val="21"/>
          <w:highlight w:val="none"/>
        </w:rPr>
      </w:pPr>
      <w:r>
        <w:rPr>
          <w:rFonts w:ascii="宋体" w:hAnsi="宋体" w:eastAsia="宋体" w:cs="宋体"/>
          <w:color w:val="auto"/>
          <w:kern w:val="0"/>
          <w:szCs w:val="21"/>
          <w:highlight w:val="none"/>
        </w:rPr>
        <w:t xml:space="preserve">3. </w:t>
      </w:r>
      <w:r>
        <w:rPr>
          <w:rFonts w:hint="eastAsia" w:ascii="宋体" w:hAnsi="宋体" w:eastAsia="宋体" w:cs="宋体"/>
          <w:color w:val="auto"/>
          <w:kern w:val="0"/>
          <w:szCs w:val="21"/>
          <w:highlight w:val="none"/>
        </w:rPr>
        <w:t>本报价一式两份，可打印或用不退色墨水书写。</w:t>
      </w:r>
    </w:p>
    <w:p w14:paraId="37C453D4">
      <w:pPr>
        <w:adjustRightInd w:val="0"/>
        <w:snapToGrid w:val="0"/>
        <w:spacing w:line="360" w:lineRule="auto"/>
        <w:ind w:firstLine="514" w:firstLineChars="245"/>
        <w:rPr>
          <w:rFonts w:ascii="宋体" w:hAnsi="Times New Roman" w:eastAsia="宋体" w:cs="宋体"/>
          <w:color w:val="auto"/>
          <w:kern w:val="0"/>
          <w:szCs w:val="21"/>
          <w:highlight w:val="none"/>
        </w:rPr>
      </w:pPr>
      <w:r>
        <w:rPr>
          <w:rFonts w:ascii="宋体" w:hAnsi="宋体" w:eastAsia="宋体" w:cs="宋体"/>
          <w:color w:val="auto"/>
          <w:kern w:val="0"/>
          <w:szCs w:val="21"/>
          <w:highlight w:val="none"/>
        </w:rPr>
        <w:t xml:space="preserve">4. </w:t>
      </w:r>
      <w:r>
        <w:rPr>
          <w:rFonts w:hint="eastAsia" w:ascii="宋体" w:hAnsi="宋体" w:eastAsia="宋体" w:cs="宋体"/>
          <w:color w:val="auto"/>
          <w:kern w:val="0"/>
          <w:szCs w:val="21"/>
          <w:highlight w:val="none"/>
        </w:rPr>
        <w:t>本报价文件递交给代理机构后不得修改，否则视为无效文件。</w:t>
      </w:r>
    </w:p>
    <w:p w14:paraId="737E18A9">
      <w:pPr>
        <w:adjustRightInd w:val="0"/>
        <w:snapToGrid w:val="0"/>
        <w:spacing w:line="360" w:lineRule="auto"/>
        <w:rPr>
          <w:rFonts w:ascii="宋体" w:hAnsi="Times New Roman" w:eastAsia="宋体" w:cs="宋体"/>
          <w:color w:val="auto"/>
          <w:kern w:val="0"/>
          <w:szCs w:val="20"/>
          <w:highlight w:val="none"/>
        </w:rPr>
      </w:pPr>
    </w:p>
    <w:p w14:paraId="559D9E89">
      <w:pPr>
        <w:adjustRightInd w:val="0"/>
        <w:snapToGrid w:val="0"/>
        <w:spacing w:line="360" w:lineRule="auto"/>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供应商名称(盖单位章)：            </w:t>
      </w:r>
    </w:p>
    <w:p w14:paraId="7055ED9F">
      <w:pPr>
        <w:adjustRightInd w:val="0"/>
        <w:snapToGrid w:val="0"/>
        <w:spacing w:line="360" w:lineRule="auto"/>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法定代表人或其授权代表签字：</w:t>
      </w:r>
    </w:p>
    <w:p w14:paraId="6325411B">
      <w:pPr>
        <w:adjustRightInd w:val="0"/>
        <w:snapToGrid w:val="0"/>
        <w:spacing w:line="360" w:lineRule="auto"/>
        <w:rPr>
          <w:rFonts w:ascii="宋体" w:hAnsi="Times New Roman" w:eastAsia="宋体" w:cs="宋体"/>
          <w:color w:val="auto"/>
          <w:kern w:val="0"/>
          <w:szCs w:val="20"/>
          <w:highlight w:val="none"/>
        </w:rPr>
      </w:pPr>
      <w:r>
        <w:rPr>
          <w:rFonts w:hint="eastAsia" w:ascii="宋体" w:hAnsi="宋体" w:eastAsia="宋体" w:cs="宋体"/>
          <w:color w:val="auto"/>
          <w:kern w:val="0"/>
          <w:szCs w:val="20"/>
          <w:highlight w:val="none"/>
        </w:rPr>
        <w:t>日期：    年   月   日</w:t>
      </w:r>
    </w:p>
    <w:p w14:paraId="5072FD9B">
      <w:pPr>
        <w:rPr>
          <w:rFonts w:ascii="宋体" w:hAnsi="Times New Roman" w:eastAsia="宋体" w:cs="宋体"/>
          <w:color w:val="auto"/>
          <w:kern w:val="0"/>
          <w:szCs w:val="20"/>
          <w:highlight w:val="none"/>
        </w:rPr>
      </w:pPr>
    </w:p>
    <w:p w14:paraId="726E70C6">
      <w:pPr>
        <w:rPr>
          <w:rFonts w:ascii="Calibri" w:hAnsi="Calibri" w:eastAsia="宋体" w:cs="Times New Roman"/>
          <w:color w:val="auto"/>
          <w:highlight w:val="none"/>
        </w:rPr>
      </w:pPr>
    </w:p>
    <w:p w14:paraId="18F45494">
      <w:pPr>
        <w:spacing w:line="520" w:lineRule="exact"/>
        <w:rPr>
          <w:rFonts w:ascii="宋体" w:hAnsi="宋体"/>
          <w:color w:val="auto"/>
          <w:highlight w:val="none"/>
        </w:rPr>
      </w:pPr>
    </w:p>
    <w:sectPr>
      <w:headerReference r:id="rId10" w:type="default"/>
      <w:footerReference r:id="rId11" w:type="default"/>
      <w:type w:val="continuous"/>
      <w:pgSz w:w="11906" w:h="16838"/>
      <w:pgMar w:top="1474" w:right="1474" w:bottom="232"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小标宋简体">
    <w:altName w:val="黑体"/>
    <w:panose1 w:val="0201060001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916E4">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40EA7">
    <w:pPr>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788119">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5788119">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410EE">
    <w:pPr>
      <w:pStyle w:val="2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4EE8AA">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64EE8AA">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9D13F">
    <w:pPr>
      <w:pStyle w:val="20"/>
      <w:jc w:val="center"/>
    </w:pPr>
  </w:p>
  <w:p w14:paraId="6BC0433C">
    <w:pPr>
      <w:pStyle w:val="2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27E2F">
    <w:pPr>
      <w:pStyle w:val="2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90C02EE">
                          <w:pPr>
                            <w:pStyle w:val="20"/>
                            <w:rPr>
                              <w:rFonts w:ascii="宋体" w:hAnsi="宋体" w:cs="宋体"/>
                              <w:sz w:val="24"/>
                              <w:szCs w:val="24"/>
                            </w:rPr>
                          </w:pPr>
                          <w:r>
                            <w:rPr>
                              <w:rFonts w:hint="eastAsia" w:ascii="宋体" w:hAnsi="宋体" w:cs="宋体"/>
                              <w:sz w:val="24"/>
                              <w:szCs w:val="24"/>
                            </w:rPr>
                            <w:t xml:space="preserve">第 </w:t>
                          </w: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t xml:space="preserve"> 页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QtkyAgAAYw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ztC2TICAABjBAAADgAAAAAAAAABACAAAAAfAQAAZHJzL2Uyb0RvYy54bWxQSwUG&#10;AAAAAAYABgBZAQAAwwUAAAAA&#10;">
              <v:fill on="f" focussize="0,0"/>
              <v:stroke on="f" weight="0.5pt"/>
              <v:imagedata o:title=""/>
              <o:lock v:ext="edit" aspectratio="f"/>
              <v:textbox inset="0mm,0mm,0mm,0mm" style="mso-fit-shape-to-text:t;">
                <w:txbxContent>
                  <w:p w14:paraId="690C02EE">
                    <w:pPr>
                      <w:pStyle w:val="20"/>
                      <w:rPr>
                        <w:rFonts w:ascii="宋体" w:hAnsi="宋体" w:cs="宋体"/>
                        <w:sz w:val="24"/>
                        <w:szCs w:val="24"/>
                      </w:rPr>
                    </w:pPr>
                    <w:r>
                      <w:rPr>
                        <w:rFonts w:hint="eastAsia" w:ascii="宋体" w:hAnsi="宋体" w:cs="宋体"/>
                        <w:sz w:val="24"/>
                        <w:szCs w:val="24"/>
                      </w:rPr>
                      <w:t xml:space="preserve">第 </w:t>
                    </w: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t xml:space="preserve"> 页 </w:t>
                    </w:r>
                  </w:p>
                </w:txbxContent>
              </v:textbox>
            </v:shape>
          </w:pict>
        </mc:Fallback>
      </mc:AlternateContent>
    </w:r>
  </w:p>
  <w:p w14:paraId="0E7087D6">
    <w:pPr>
      <w:pStyle w:val="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8EAD3">
    <w:pPr>
      <w:tabs>
        <w:tab w:val="center" w:pos="4153"/>
        <w:tab w:val="center" w:pos="4242"/>
        <w:tab w:val="right" w:pos="8306"/>
      </w:tabs>
      <w:snapToGrid w:val="0"/>
      <w:ind w:right="360"/>
      <w:rPr>
        <w:rFonts w:ascii="宋体" w:hAnsi="宋体" w:eastAsia="宋体" w:cs="Times New Roman"/>
        <w:kern w:val="2"/>
        <w:sz w:val="18"/>
        <w:szCs w:val="18"/>
        <w:lang w:val="en-US" w:eastAsia="zh-CN" w:bidi="ar-SA"/>
      </w:rPr>
    </w:pPr>
    <w:r>
      <w:rPr>
        <w:rFonts w:ascii="Calibri" w:hAnsi="Calibri" w:eastAsia="宋体" w:cs="Times New Roman"/>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0CFD6D">
                          <w:pPr>
                            <w:widowControl w:val="0"/>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12</w:t>
                          </w:r>
                          <w:r>
                            <w:rPr>
                              <w:rFonts w:ascii="Calibri" w:hAnsi="Calibri" w:eastAsia="宋体" w:cs="Times New Roman"/>
                              <w:kern w:val="2"/>
                              <w:sz w:val="18"/>
                              <w:szCs w:val="24"/>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700CFD6D">
                    <w:pPr>
                      <w:widowControl w:val="0"/>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12</w:t>
                    </w:r>
                    <w:r>
                      <w:rPr>
                        <w:rFonts w:ascii="Calibri" w:hAnsi="Calibri" w:eastAsia="宋体" w:cs="Times New Roman"/>
                        <w:kern w:val="2"/>
                        <w:sz w:val="18"/>
                        <w:szCs w:val="24"/>
                        <w:lang w:val="en-US" w:eastAsia="zh-CN" w:bidi="ar-SA"/>
                      </w:rPr>
                      <w:fldChar w:fldCharType="end"/>
                    </w:r>
                  </w:p>
                </w:txbxContent>
              </v:textbox>
            </v:shape>
          </w:pict>
        </mc:Fallback>
      </mc:AlternateContent>
    </w:r>
    <w:r>
      <w:rPr>
        <w:rFonts w:hint="eastAsia" w:ascii="宋体" w:hAnsi="宋体" w:eastAsia="宋体" w:cs="Times New Roman"/>
        <w:kern w:val="0"/>
        <w:sz w:val="18"/>
        <w:szCs w:val="18"/>
        <w:lang w:val="en-US" w:eastAsia="zh-CN" w:bidi="ar-SA"/>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5A819">
    <w:pPr>
      <w:ind w:right="360"/>
      <w:rPr>
        <w:rFonts w:ascii="宋体" w:cs="宋体"/>
        <w:bCs/>
        <w:szCs w:val="21"/>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F15A70">
                          <w:pPr>
                            <w:pStyle w:val="20"/>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FF15A70">
                    <w:pPr>
                      <w:pStyle w:val="20"/>
                    </w:pPr>
                    <w:r>
                      <w:fldChar w:fldCharType="begin"/>
                    </w:r>
                    <w:r>
                      <w:instrText xml:space="preserve"> PAGE  \* MERGEFORMAT </w:instrText>
                    </w:r>
                    <w:r>
                      <w:fldChar w:fldCharType="separate"/>
                    </w:r>
                    <w:r>
                      <w:t>14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EE3E6">
    <w:pPr>
      <w:pStyle w:val="2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F43C2">
    <w:pPr>
      <w:rPr>
        <w:rFonts w:ascii="仿宋_GB2312" w:eastAsia="仿宋_GB2312"/>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4CB6E3"/>
    <w:multiLevelType w:val="singleLevel"/>
    <w:tmpl w:val="894CB6E3"/>
    <w:lvl w:ilvl="0" w:tentative="0">
      <w:start w:val="2"/>
      <w:numFmt w:val="chineseCounting"/>
      <w:suff w:val="space"/>
      <w:lvlText w:val="第%1部分"/>
      <w:lvlJc w:val="left"/>
      <w:rPr>
        <w:rFonts w:hint="eastAsia"/>
      </w:rPr>
    </w:lvl>
  </w:abstractNum>
  <w:abstractNum w:abstractNumId="1">
    <w:nsid w:val="A54CA5A5"/>
    <w:multiLevelType w:val="singleLevel"/>
    <w:tmpl w:val="A54CA5A5"/>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ˇˉ―‖’”…∶、。〃々〉》」』】〕〗！＂＇），．：；？］｀｜｝～￠"/>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3Zjc3NWEyYzcwNGQyYzMwMjE4MTU3OWE2NTA1NmIifQ=="/>
    <w:docVar w:name="KSO_WPS_MARK_KEY" w:val="8db93702-344d-46e4-ade0-985870252a3e"/>
  </w:docVars>
  <w:rsids>
    <w:rsidRoot w:val="00161563"/>
    <w:rsid w:val="00000628"/>
    <w:rsid w:val="000013FD"/>
    <w:rsid w:val="0001324C"/>
    <w:rsid w:val="00013727"/>
    <w:rsid w:val="00016090"/>
    <w:rsid w:val="00016FE4"/>
    <w:rsid w:val="0001786C"/>
    <w:rsid w:val="00020C73"/>
    <w:rsid w:val="00022409"/>
    <w:rsid w:val="000258A4"/>
    <w:rsid w:val="000265B5"/>
    <w:rsid w:val="0003123C"/>
    <w:rsid w:val="000316F7"/>
    <w:rsid w:val="00031979"/>
    <w:rsid w:val="00032A72"/>
    <w:rsid w:val="0003418B"/>
    <w:rsid w:val="00042C88"/>
    <w:rsid w:val="0005351F"/>
    <w:rsid w:val="000545F8"/>
    <w:rsid w:val="00054778"/>
    <w:rsid w:val="00054823"/>
    <w:rsid w:val="0005603A"/>
    <w:rsid w:val="00060F69"/>
    <w:rsid w:val="0006102A"/>
    <w:rsid w:val="0006280C"/>
    <w:rsid w:val="000656F7"/>
    <w:rsid w:val="00066C8F"/>
    <w:rsid w:val="00071EA2"/>
    <w:rsid w:val="00077020"/>
    <w:rsid w:val="00080D4E"/>
    <w:rsid w:val="000814AD"/>
    <w:rsid w:val="0008195C"/>
    <w:rsid w:val="00084D68"/>
    <w:rsid w:val="00097326"/>
    <w:rsid w:val="0009735C"/>
    <w:rsid w:val="000A3D56"/>
    <w:rsid w:val="000A5F79"/>
    <w:rsid w:val="000B0DA0"/>
    <w:rsid w:val="000B2CF5"/>
    <w:rsid w:val="000B4AB2"/>
    <w:rsid w:val="000B6EE6"/>
    <w:rsid w:val="000C25EA"/>
    <w:rsid w:val="000C59DB"/>
    <w:rsid w:val="000C5CA0"/>
    <w:rsid w:val="000D3739"/>
    <w:rsid w:val="000D46A0"/>
    <w:rsid w:val="000D4ECD"/>
    <w:rsid w:val="000D5290"/>
    <w:rsid w:val="000D7622"/>
    <w:rsid w:val="000E3CEF"/>
    <w:rsid w:val="000E54A2"/>
    <w:rsid w:val="000E6598"/>
    <w:rsid w:val="000F0742"/>
    <w:rsid w:val="000F4473"/>
    <w:rsid w:val="000F6699"/>
    <w:rsid w:val="0010187C"/>
    <w:rsid w:val="00101FC7"/>
    <w:rsid w:val="00105DEA"/>
    <w:rsid w:val="00107A93"/>
    <w:rsid w:val="001117C4"/>
    <w:rsid w:val="00112961"/>
    <w:rsid w:val="00114B63"/>
    <w:rsid w:val="00116EE7"/>
    <w:rsid w:val="001229F8"/>
    <w:rsid w:val="0012310C"/>
    <w:rsid w:val="00123F04"/>
    <w:rsid w:val="00126A45"/>
    <w:rsid w:val="00127277"/>
    <w:rsid w:val="001319F6"/>
    <w:rsid w:val="0013312C"/>
    <w:rsid w:val="001400C7"/>
    <w:rsid w:val="00142950"/>
    <w:rsid w:val="00144D32"/>
    <w:rsid w:val="0014606F"/>
    <w:rsid w:val="001505A8"/>
    <w:rsid w:val="0016122A"/>
    <w:rsid w:val="001614E4"/>
    <w:rsid w:val="00161563"/>
    <w:rsid w:val="0016227B"/>
    <w:rsid w:val="0016687D"/>
    <w:rsid w:val="0016769B"/>
    <w:rsid w:val="00172C85"/>
    <w:rsid w:val="00180E8D"/>
    <w:rsid w:val="001839F7"/>
    <w:rsid w:val="00190761"/>
    <w:rsid w:val="00192FAF"/>
    <w:rsid w:val="001935ED"/>
    <w:rsid w:val="00195AE8"/>
    <w:rsid w:val="00195D5E"/>
    <w:rsid w:val="00196B2F"/>
    <w:rsid w:val="0019709A"/>
    <w:rsid w:val="0019719F"/>
    <w:rsid w:val="001A45B4"/>
    <w:rsid w:val="001A7BC6"/>
    <w:rsid w:val="001B0972"/>
    <w:rsid w:val="001B3A06"/>
    <w:rsid w:val="001C20D6"/>
    <w:rsid w:val="001C5539"/>
    <w:rsid w:val="001C5F63"/>
    <w:rsid w:val="001D012F"/>
    <w:rsid w:val="001D0846"/>
    <w:rsid w:val="001D2414"/>
    <w:rsid w:val="001E1BDD"/>
    <w:rsid w:val="001E7EC4"/>
    <w:rsid w:val="001F3119"/>
    <w:rsid w:val="001F4D8B"/>
    <w:rsid w:val="001F6BD4"/>
    <w:rsid w:val="0020198C"/>
    <w:rsid w:val="00202B48"/>
    <w:rsid w:val="0020462F"/>
    <w:rsid w:val="002056C0"/>
    <w:rsid w:val="00206604"/>
    <w:rsid w:val="00206B59"/>
    <w:rsid w:val="00210813"/>
    <w:rsid w:val="00222053"/>
    <w:rsid w:val="002237C8"/>
    <w:rsid w:val="00234D33"/>
    <w:rsid w:val="002351DA"/>
    <w:rsid w:val="0023644B"/>
    <w:rsid w:val="0024588C"/>
    <w:rsid w:val="0025025D"/>
    <w:rsid w:val="00251DA4"/>
    <w:rsid w:val="00263DF4"/>
    <w:rsid w:val="002703C0"/>
    <w:rsid w:val="00271038"/>
    <w:rsid w:val="0027321A"/>
    <w:rsid w:val="00274E5A"/>
    <w:rsid w:val="0027604D"/>
    <w:rsid w:val="00277578"/>
    <w:rsid w:val="00280740"/>
    <w:rsid w:val="0028270A"/>
    <w:rsid w:val="002831B2"/>
    <w:rsid w:val="00283FFE"/>
    <w:rsid w:val="002942E2"/>
    <w:rsid w:val="002A6F84"/>
    <w:rsid w:val="002A74CF"/>
    <w:rsid w:val="002A7D46"/>
    <w:rsid w:val="002B1437"/>
    <w:rsid w:val="002B6F14"/>
    <w:rsid w:val="002C0147"/>
    <w:rsid w:val="002C5E8A"/>
    <w:rsid w:val="002C755E"/>
    <w:rsid w:val="002D11DF"/>
    <w:rsid w:val="002D5796"/>
    <w:rsid w:val="002D6CE6"/>
    <w:rsid w:val="002E1221"/>
    <w:rsid w:val="002E139F"/>
    <w:rsid w:val="002E54FD"/>
    <w:rsid w:val="002E5DFA"/>
    <w:rsid w:val="002F2FA7"/>
    <w:rsid w:val="002F3743"/>
    <w:rsid w:val="002F4B74"/>
    <w:rsid w:val="002F5260"/>
    <w:rsid w:val="0030147A"/>
    <w:rsid w:val="003037B4"/>
    <w:rsid w:val="00316F4E"/>
    <w:rsid w:val="003203E5"/>
    <w:rsid w:val="00320CBF"/>
    <w:rsid w:val="0032389C"/>
    <w:rsid w:val="0033085C"/>
    <w:rsid w:val="00331CDD"/>
    <w:rsid w:val="003327C8"/>
    <w:rsid w:val="00333016"/>
    <w:rsid w:val="003349E5"/>
    <w:rsid w:val="00341774"/>
    <w:rsid w:val="00344929"/>
    <w:rsid w:val="0034566D"/>
    <w:rsid w:val="00345BB2"/>
    <w:rsid w:val="003578F3"/>
    <w:rsid w:val="00363836"/>
    <w:rsid w:val="00363BFF"/>
    <w:rsid w:val="003711B6"/>
    <w:rsid w:val="00381271"/>
    <w:rsid w:val="0038431C"/>
    <w:rsid w:val="00391D34"/>
    <w:rsid w:val="003943A9"/>
    <w:rsid w:val="0039560A"/>
    <w:rsid w:val="00396DBD"/>
    <w:rsid w:val="00396FAA"/>
    <w:rsid w:val="003A3D9F"/>
    <w:rsid w:val="003A5092"/>
    <w:rsid w:val="003A53EC"/>
    <w:rsid w:val="003A641D"/>
    <w:rsid w:val="003A7F1D"/>
    <w:rsid w:val="003B1C48"/>
    <w:rsid w:val="003B2D0F"/>
    <w:rsid w:val="003B4ACC"/>
    <w:rsid w:val="003B4B20"/>
    <w:rsid w:val="003C1C7F"/>
    <w:rsid w:val="003C2B2B"/>
    <w:rsid w:val="003C3F5F"/>
    <w:rsid w:val="003C4045"/>
    <w:rsid w:val="003C7808"/>
    <w:rsid w:val="003D2734"/>
    <w:rsid w:val="003D5DFA"/>
    <w:rsid w:val="003E2238"/>
    <w:rsid w:val="003E7228"/>
    <w:rsid w:val="003E7BD4"/>
    <w:rsid w:val="004051BA"/>
    <w:rsid w:val="004057AC"/>
    <w:rsid w:val="0041159F"/>
    <w:rsid w:val="00411F19"/>
    <w:rsid w:val="00412BB7"/>
    <w:rsid w:val="00413E59"/>
    <w:rsid w:val="00423163"/>
    <w:rsid w:val="00425023"/>
    <w:rsid w:val="0042770A"/>
    <w:rsid w:val="00431B08"/>
    <w:rsid w:val="0043393E"/>
    <w:rsid w:val="00433F4D"/>
    <w:rsid w:val="004348E2"/>
    <w:rsid w:val="00434BF8"/>
    <w:rsid w:val="00440095"/>
    <w:rsid w:val="00440C7B"/>
    <w:rsid w:val="004430EA"/>
    <w:rsid w:val="004440C5"/>
    <w:rsid w:val="00444DF0"/>
    <w:rsid w:val="00446F77"/>
    <w:rsid w:val="004542E2"/>
    <w:rsid w:val="00461EFA"/>
    <w:rsid w:val="0046705E"/>
    <w:rsid w:val="00472397"/>
    <w:rsid w:val="0047313E"/>
    <w:rsid w:val="004800EA"/>
    <w:rsid w:val="00480904"/>
    <w:rsid w:val="00483D5A"/>
    <w:rsid w:val="0048447D"/>
    <w:rsid w:val="00496C20"/>
    <w:rsid w:val="00496EB5"/>
    <w:rsid w:val="004A146D"/>
    <w:rsid w:val="004A5A68"/>
    <w:rsid w:val="004B2831"/>
    <w:rsid w:val="004B4390"/>
    <w:rsid w:val="004B49DE"/>
    <w:rsid w:val="004B7B5C"/>
    <w:rsid w:val="004C0013"/>
    <w:rsid w:val="004C1DD3"/>
    <w:rsid w:val="004C208A"/>
    <w:rsid w:val="004C31C0"/>
    <w:rsid w:val="004C72D5"/>
    <w:rsid w:val="004D2990"/>
    <w:rsid w:val="004D3897"/>
    <w:rsid w:val="004D6AFC"/>
    <w:rsid w:val="004E0024"/>
    <w:rsid w:val="004E0D77"/>
    <w:rsid w:val="004E6B48"/>
    <w:rsid w:val="004F0776"/>
    <w:rsid w:val="00500619"/>
    <w:rsid w:val="00501989"/>
    <w:rsid w:val="00505F1E"/>
    <w:rsid w:val="0050620B"/>
    <w:rsid w:val="005133BC"/>
    <w:rsid w:val="00514586"/>
    <w:rsid w:val="0051461A"/>
    <w:rsid w:val="00515ACE"/>
    <w:rsid w:val="00525221"/>
    <w:rsid w:val="005278D3"/>
    <w:rsid w:val="005306DE"/>
    <w:rsid w:val="005414AF"/>
    <w:rsid w:val="005419AF"/>
    <w:rsid w:val="00545877"/>
    <w:rsid w:val="0054664D"/>
    <w:rsid w:val="00547A8F"/>
    <w:rsid w:val="0055293E"/>
    <w:rsid w:val="00563DDC"/>
    <w:rsid w:val="00565473"/>
    <w:rsid w:val="00565866"/>
    <w:rsid w:val="00567142"/>
    <w:rsid w:val="00567B1C"/>
    <w:rsid w:val="005714D9"/>
    <w:rsid w:val="00573607"/>
    <w:rsid w:val="005754BE"/>
    <w:rsid w:val="005772E5"/>
    <w:rsid w:val="00577FB3"/>
    <w:rsid w:val="00581193"/>
    <w:rsid w:val="00581321"/>
    <w:rsid w:val="00583AB5"/>
    <w:rsid w:val="00584F83"/>
    <w:rsid w:val="00595D45"/>
    <w:rsid w:val="00595F4D"/>
    <w:rsid w:val="00596703"/>
    <w:rsid w:val="00596FA9"/>
    <w:rsid w:val="005A0FC0"/>
    <w:rsid w:val="005A4774"/>
    <w:rsid w:val="005B1ADB"/>
    <w:rsid w:val="005B2F58"/>
    <w:rsid w:val="005B4305"/>
    <w:rsid w:val="005B443E"/>
    <w:rsid w:val="005B4C73"/>
    <w:rsid w:val="005D0120"/>
    <w:rsid w:val="005D23B2"/>
    <w:rsid w:val="005D255C"/>
    <w:rsid w:val="005D3071"/>
    <w:rsid w:val="005D579E"/>
    <w:rsid w:val="005D5A8D"/>
    <w:rsid w:val="005D67F1"/>
    <w:rsid w:val="005E1EE2"/>
    <w:rsid w:val="005E548B"/>
    <w:rsid w:val="005F02B2"/>
    <w:rsid w:val="005F0E0C"/>
    <w:rsid w:val="005F23CD"/>
    <w:rsid w:val="005F32D2"/>
    <w:rsid w:val="005F42CC"/>
    <w:rsid w:val="005F5907"/>
    <w:rsid w:val="00600538"/>
    <w:rsid w:val="00602DBB"/>
    <w:rsid w:val="00603A57"/>
    <w:rsid w:val="00604B60"/>
    <w:rsid w:val="0060526B"/>
    <w:rsid w:val="00605CC4"/>
    <w:rsid w:val="00606B4A"/>
    <w:rsid w:val="00616E01"/>
    <w:rsid w:val="0062049F"/>
    <w:rsid w:val="0062126F"/>
    <w:rsid w:val="00622BA3"/>
    <w:rsid w:val="00627D3A"/>
    <w:rsid w:val="00640B56"/>
    <w:rsid w:val="00642600"/>
    <w:rsid w:val="006509CD"/>
    <w:rsid w:val="00651AE8"/>
    <w:rsid w:val="00652C33"/>
    <w:rsid w:val="00654697"/>
    <w:rsid w:val="00656C49"/>
    <w:rsid w:val="00661036"/>
    <w:rsid w:val="00662322"/>
    <w:rsid w:val="006634EB"/>
    <w:rsid w:val="0067076B"/>
    <w:rsid w:val="00676A89"/>
    <w:rsid w:val="00676D3D"/>
    <w:rsid w:val="00677771"/>
    <w:rsid w:val="00682626"/>
    <w:rsid w:val="006828F6"/>
    <w:rsid w:val="006835A0"/>
    <w:rsid w:val="00684181"/>
    <w:rsid w:val="00692F17"/>
    <w:rsid w:val="006A00DC"/>
    <w:rsid w:val="006A1B2D"/>
    <w:rsid w:val="006A42F9"/>
    <w:rsid w:val="006B0475"/>
    <w:rsid w:val="006B3A56"/>
    <w:rsid w:val="006B74D1"/>
    <w:rsid w:val="006C3C04"/>
    <w:rsid w:val="006D1534"/>
    <w:rsid w:val="006E0E5F"/>
    <w:rsid w:val="006E2068"/>
    <w:rsid w:val="006E44B6"/>
    <w:rsid w:val="006E4D5C"/>
    <w:rsid w:val="006F002E"/>
    <w:rsid w:val="006F00E0"/>
    <w:rsid w:val="006F63FE"/>
    <w:rsid w:val="00705052"/>
    <w:rsid w:val="00705B5A"/>
    <w:rsid w:val="007069A1"/>
    <w:rsid w:val="00710030"/>
    <w:rsid w:val="0071004E"/>
    <w:rsid w:val="007129F4"/>
    <w:rsid w:val="00713E5E"/>
    <w:rsid w:val="00714FF2"/>
    <w:rsid w:val="0072021B"/>
    <w:rsid w:val="00720483"/>
    <w:rsid w:val="00720827"/>
    <w:rsid w:val="007221A8"/>
    <w:rsid w:val="00723DA1"/>
    <w:rsid w:val="007262E5"/>
    <w:rsid w:val="00727822"/>
    <w:rsid w:val="00732901"/>
    <w:rsid w:val="007363C3"/>
    <w:rsid w:val="0074326D"/>
    <w:rsid w:val="00750BBA"/>
    <w:rsid w:val="00751A24"/>
    <w:rsid w:val="00751CD1"/>
    <w:rsid w:val="00753B93"/>
    <w:rsid w:val="00765076"/>
    <w:rsid w:val="00766482"/>
    <w:rsid w:val="00770B7F"/>
    <w:rsid w:val="00773FBF"/>
    <w:rsid w:val="0077637B"/>
    <w:rsid w:val="007833FA"/>
    <w:rsid w:val="0078397D"/>
    <w:rsid w:val="007974F0"/>
    <w:rsid w:val="007A2043"/>
    <w:rsid w:val="007A3456"/>
    <w:rsid w:val="007A55C1"/>
    <w:rsid w:val="007A57C7"/>
    <w:rsid w:val="007B6504"/>
    <w:rsid w:val="007C0E0F"/>
    <w:rsid w:val="007C1A3E"/>
    <w:rsid w:val="007D5392"/>
    <w:rsid w:val="007E08A5"/>
    <w:rsid w:val="007E1322"/>
    <w:rsid w:val="007E3276"/>
    <w:rsid w:val="007E6B56"/>
    <w:rsid w:val="007E72D4"/>
    <w:rsid w:val="007E7EFB"/>
    <w:rsid w:val="007F7BB6"/>
    <w:rsid w:val="007F7CDB"/>
    <w:rsid w:val="00801F70"/>
    <w:rsid w:val="008041E0"/>
    <w:rsid w:val="00805A03"/>
    <w:rsid w:val="00812479"/>
    <w:rsid w:val="008130D0"/>
    <w:rsid w:val="00813980"/>
    <w:rsid w:val="00822C82"/>
    <w:rsid w:val="00825146"/>
    <w:rsid w:val="0083035F"/>
    <w:rsid w:val="00831653"/>
    <w:rsid w:val="008322C7"/>
    <w:rsid w:val="00835B86"/>
    <w:rsid w:val="008376F2"/>
    <w:rsid w:val="008428FA"/>
    <w:rsid w:val="00843307"/>
    <w:rsid w:val="00845C51"/>
    <w:rsid w:val="008469A1"/>
    <w:rsid w:val="00846B3C"/>
    <w:rsid w:val="00847016"/>
    <w:rsid w:val="00847357"/>
    <w:rsid w:val="00850E3D"/>
    <w:rsid w:val="0086170E"/>
    <w:rsid w:val="00862285"/>
    <w:rsid w:val="00863F8B"/>
    <w:rsid w:val="00865E65"/>
    <w:rsid w:val="00866D76"/>
    <w:rsid w:val="0087104B"/>
    <w:rsid w:val="00872435"/>
    <w:rsid w:val="00874D26"/>
    <w:rsid w:val="00875711"/>
    <w:rsid w:val="00885ED9"/>
    <w:rsid w:val="0088750F"/>
    <w:rsid w:val="00887778"/>
    <w:rsid w:val="008920A7"/>
    <w:rsid w:val="008A41FD"/>
    <w:rsid w:val="008A4A9C"/>
    <w:rsid w:val="008A6328"/>
    <w:rsid w:val="008A74A7"/>
    <w:rsid w:val="008B092D"/>
    <w:rsid w:val="008B4E48"/>
    <w:rsid w:val="008B619F"/>
    <w:rsid w:val="008B64CB"/>
    <w:rsid w:val="008C5DC9"/>
    <w:rsid w:val="008E003A"/>
    <w:rsid w:val="008E3B11"/>
    <w:rsid w:val="008E4E29"/>
    <w:rsid w:val="008E549D"/>
    <w:rsid w:val="008F03D6"/>
    <w:rsid w:val="008F1EA3"/>
    <w:rsid w:val="008F32CC"/>
    <w:rsid w:val="008F6D15"/>
    <w:rsid w:val="009039F4"/>
    <w:rsid w:val="00905694"/>
    <w:rsid w:val="00905FB9"/>
    <w:rsid w:val="00907929"/>
    <w:rsid w:val="00907CBF"/>
    <w:rsid w:val="009113CF"/>
    <w:rsid w:val="0091477B"/>
    <w:rsid w:val="0092177E"/>
    <w:rsid w:val="00923E34"/>
    <w:rsid w:val="00924B54"/>
    <w:rsid w:val="0092751C"/>
    <w:rsid w:val="00950B9A"/>
    <w:rsid w:val="00950D6E"/>
    <w:rsid w:val="009515C1"/>
    <w:rsid w:val="00951E9B"/>
    <w:rsid w:val="00953EAE"/>
    <w:rsid w:val="00954FFE"/>
    <w:rsid w:val="0095689A"/>
    <w:rsid w:val="00961494"/>
    <w:rsid w:val="009621BF"/>
    <w:rsid w:val="009628BA"/>
    <w:rsid w:val="0096325A"/>
    <w:rsid w:val="00972C5E"/>
    <w:rsid w:val="00974542"/>
    <w:rsid w:val="009758CC"/>
    <w:rsid w:val="009770CB"/>
    <w:rsid w:val="00980539"/>
    <w:rsid w:val="009811CA"/>
    <w:rsid w:val="00982C36"/>
    <w:rsid w:val="00983FED"/>
    <w:rsid w:val="00985E21"/>
    <w:rsid w:val="0098730E"/>
    <w:rsid w:val="00987DA1"/>
    <w:rsid w:val="0099034A"/>
    <w:rsid w:val="009921BB"/>
    <w:rsid w:val="0099338B"/>
    <w:rsid w:val="00993787"/>
    <w:rsid w:val="0099772C"/>
    <w:rsid w:val="009A21C5"/>
    <w:rsid w:val="009A2822"/>
    <w:rsid w:val="009B2A41"/>
    <w:rsid w:val="009B4F44"/>
    <w:rsid w:val="009B6F67"/>
    <w:rsid w:val="009C2323"/>
    <w:rsid w:val="009C351A"/>
    <w:rsid w:val="009C4E1B"/>
    <w:rsid w:val="009C6FFB"/>
    <w:rsid w:val="009D1775"/>
    <w:rsid w:val="009D2E3F"/>
    <w:rsid w:val="009D539F"/>
    <w:rsid w:val="009D562D"/>
    <w:rsid w:val="009D6560"/>
    <w:rsid w:val="009E4573"/>
    <w:rsid w:val="009E5000"/>
    <w:rsid w:val="009E5EF1"/>
    <w:rsid w:val="009E6B88"/>
    <w:rsid w:val="009F1A8D"/>
    <w:rsid w:val="009F33C6"/>
    <w:rsid w:val="009F62B3"/>
    <w:rsid w:val="00A03CEE"/>
    <w:rsid w:val="00A03DC0"/>
    <w:rsid w:val="00A04131"/>
    <w:rsid w:val="00A0639F"/>
    <w:rsid w:val="00A11AA7"/>
    <w:rsid w:val="00A126EB"/>
    <w:rsid w:val="00A145C4"/>
    <w:rsid w:val="00A168E2"/>
    <w:rsid w:val="00A21C00"/>
    <w:rsid w:val="00A26079"/>
    <w:rsid w:val="00A34DDC"/>
    <w:rsid w:val="00A371FE"/>
    <w:rsid w:val="00A37BDD"/>
    <w:rsid w:val="00A402D6"/>
    <w:rsid w:val="00A46F1A"/>
    <w:rsid w:val="00A52C03"/>
    <w:rsid w:val="00A56559"/>
    <w:rsid w:val="00A56FC4"/>
    <w:rsid w:val="00A61580"/>
    <w:rsid w:val="00A6298E"/>
    <w:rsid w:val="00A648A4"/>
    <w:rsid w:val="00A65D91"/>
    <w:rsid w:val="00A75A20"/>
    <w:rsid w:val="00A76AA5"/>
    <w:rsid w:val="00A76EDD"/>
    <w:rsid w:val="00A76FA6"/>
    <w:rsid w:val="00A77E38"/>
    <w:rsid w:val="00A80EBE"/>
    <w:rsid w:val="00A812DC"/>
    <w:rsid w:val="00A8177A"/>
    <w:rsid w:val="00A81C2A"/>
    <w:rsid w:val="00A87C26"/>
    <w:rsid w:val="00A93F43"/>
    <w:rsid w:val="00A95A82"/>
    <w:rsid w:val="00AA157D"/>
    <w:rsid w:val="00AA2716"/>
    <w:rsid w:val="00AA58E0"/>
    <w:rsid w:val="00AB0356"/>
    <w:rsid w:val="00AC0BAB"/>
    <w:rsid w:val="00AC71A6"/>
    <w:rsid w:val="00AD1940"/>
    <w:rsid w:val="00AD4D25"/>
    <w:rsid w:val="00AE4EE7"/>
    <w:rsid w:val="00AE5550"/>
    <w:rsid w:val="00AE708F"/>
    <w:rsid w:val="00AE7B40"/>
    <w:rsid w:val="00AF00CC"/>
    <w:rsid w:val="00AF1EFE"/>
    <w:rsid w:val="00AF230E"/>
    <w:rsid w:val="00AF4E3E"/>
    <w:rsid w:val="00AF55F1"/>
    <w:rsid w:val="00AF5816"/>
    <w:rsid w:val="00AF60D0"/>
    <w:rsid w:val="00AF6E48"/>
    <w:rsid w:val="00AF753E"/>
    <w:rsid w:val="00B01330"/>
    <w:rsid w:val="00B0531B"/>
    <w:rsid w:val="00B11D87"/>
    <w:rsid w:val="00B137A1"/>
    <w:rsid w:val="00B1547C"/>
    <w:rsid w:val="00B21412"/>
    <w:rsid w:val="00B21AB1"/>
    <w:rsid w:val="00B24BD0"/>
    <w:rsid w:val="00B266B5"/>
    <w:rsid w:val="00B33D2E"/>
    <w:rsid w:val="00B3500B"/>
    <w:rsid w:val="00B35E5D"/>
    <w:rsid w:val="00B36923"/>
    <w:rsid w:val="00B422C7"/>
    <w:rsid w:val="00B555BF"/>
    <w:rsid w:val="00B63AD9"/>
    <w:rsid w:val="00B67CFB"/>
    <w:rsid w:val="00B7371D"/>
    <w:rsid w:val="00B7436D"/>
    <w:rsid w:val="00B75732"/>
    <w:rsid w:val="00B769BA"/>
    <w:rsid w:val="00B85CA9"/>
    <w:rsid w:val="00B86F2C"/>
    <w:rsid w:val="00B87960"/>
    <w:rsid w:val="00B91143"/>
    <w:rsid w:val="00B9173C"/>
    <w:rsid w:val="00B9181F"/>
    <w:rsid w:val="00B91C67"/>
    <w:rsid w:val="00B94653"/>
    <w:rsid w:val="00B95A38"/>
    <w:rsid w:val="00BA3B58"/>
    <w:rsid w:val="00BA5669"/>
    <w:rsid w:val="00BB2C93"/>
    <w:rsid w:val="00BC11E3"/>
    <w:rsid w:val="00BD0D02"/>
    <w:rsid w:val="00BD1F57"/>
    <w:rsid w:val="00BD2C10"/>
    <w:rsid w:val="00BD3FA5"/>
    <w:rsid w:val="00BD7540"/>
    <w:rsid w:val="00BE1F77"/>
    <w:rsid w:val="00BE26A6"/>
    <w:rsid w:val="00BE60CF"/>
    <w:rsid w:val="00BF3659"/>
    <w:rsid w:val="00C01BA6"/>
    <w:rsid w:val="00C04F22"/>
    <w:rsid w:val="00C052DE"/>
    <w:rsid w:val="00C074EB"/>
    <w:rsid w:val="00C10279"/>
    <w:rsid w:val="00C10AFA"/>
    <w:rsid w:val="00C11A6E"/>
    <w:rsid w:val="00C11D8D"/>
    <w:rsid w:val="00C12FC6"/>
    <w:rsid w:val="00C13015"/>
    <w:rsid w:val="00C13C27"/>
    <w:rsid w:val="00C21016"/>
    <w:rsid w:val="00C24148"/>
    <w:rsid w:val="00C26407"/>
    <w:rsid w:val="00C314DA"/>
    <w:rsid w:val="00C40EBC"/>
    <w:rsid w:val="00C47F9A"/>
    <w:rsid w:val="00C502F8"/>
    <w:rsid w:val="00C56EBE"/>
    <w:rsid w:val="00C57895"/>
    <w:rsid w:val="00C6155F"/>
    <w:rsid w:val="00C61DAA"/>
    <w:rsid w:val="00C6224D"/>
    <w:rsid w:val="00C62B7E"/>
    <w:rsid w:val="00C67B31"/>
    <w:rsid w:val="00C7339F"/>
    <w:rsid w:val="00C753C9"/>
    <w:rsid w:val="00C848F7"/>
    <w:rsid w:val="00C92094"/>
    <w:rsid w:val="00C95ABB"/>
    <w:rsid w:val="00C95C7C"/>
    <w:rsid w:val="00C97EBB"/>
    <w:rsid w:val="00CA4E2A"/>
    <w:rsid w:val="00CB533D"/>
    <w:rsid w:val="00CB6EE5"/>
    <w:rsid w:val="00CB7968"/>
    <w:rsid w:val="00CC3499"/>
    <w:rsid w:val="00CC4AC9"/>
    <w:rsid w:val="00CC4CAB"/>
    <w:rsid w:val="00CD165E"/>
    <w:rsid w:val="00CD6498"/>
    <w:rsid w:val="00CE0384"/>
    <w:rsid w:val="00CE03E4"/>
    <w:rsid w:val="00CE13C8"/>
    <w:rsid w:val="00CE2C49"/>
    <w:rsid w:val="00CE2CED"/>
    <w:rsid w:val="00CE6D36"/>
    <w:rsid w:val="00CF3701"/>
    <w:rsid w:val="00CF5D65"/>
    <w:rsid w:val="00CF62FC"/>
    <w:rsid w:val="00D03BCA"/>
    <w:rsid w:val="00D03BD0"/>
    <w:rsid w:val="00D05E9A"/>
    <w:rsid w:val="00D109CE"/>
    <w:rsid w:val="00D10C33"/>
    <w:rsid w:val="00D14636"/>
    <w:rsid w:val="00D17D82"/>
    <w:rsid w:val="00D20BFC"/>
    <w:rsid w:val="00D23EC7"/>
    <w:rsid w:val="00D24278"/>
    <w:rsid w:val="00D24835"/>
    <w:rsid w:val="00D2695B"/>
    <w:rsid w:val="00D3347F"/>
    <w:rsid w:val="00D347B6"/>
    <w:rsid w:val="00D34FA7"/>
    <w:rsid w:val="00D364D8"/>
    <w:rsid w:val="00D41A53"/>
    <w:rsid w:val="00D42E7D"/>
    <w:rsid w:val="00D44A8A"/>
    <w:rsid w:val="00D47A29"/>
    <w:rsid w:val="00D515EB"/>
    <w:rsid w:val="00D5310D"/>
    <w:rsid w:val="00D55944"/>
    <w:rsid w:val="00D56043"/>
    <w:rsid w:val="00D57B47"/>
    <w:rsid w:val="00D60947"/>
    <w:rsid w:val="00D62390"/>
    <w:rsid w:val="00D62BB7"/>
    <w:rsid w:val="00D64611"/>
    <w:rsid w:val="00D67A99"/>
    <w:rsid w:val="00D7048F"/>
    <w:rsid w:val="00D70496"/>
    <w:rsid w:val="00D7144D"/>
    <w:rsid w:val="00D72838"/>
    <w:rsid w:val="00D73838"/>
    <w:rsid w:val="00D7479A"/>
    <w:rsid w:val="00D74F5F"/>
    <w:rsid w:val="00D76B22"/>
    <w:rsid w:val="00D76CF3"/>
    <w:rsid w:val="00D80376"/>
    <w:rsid w:val="00D80D39"/>
    <w:rsid w:val="00D8164B"/>
    <w:rsid w:val="00D835B4"/>
    <w:rsid w:val="00D83B5B"/>
    <w:rsid w:val="00D860C3"/>
    <w:rsid w:val="00D91ECD"/>
    <w:rsid w:val="00DB48FF"/>
    <w:rsid w:val="00DB7762"/>
    <w:rsid w:val="00DC084F"/>
    <w:rsid w:val="00DC18EB"/>
    <w:rsid w:val="00DC2F6B"/>
    <w:rsid w:val="00DC64FE"/>
    <w:rsid w:val="00DD0264"/>
    <w:rsid w:val="00DD4BD0"/>
    <w:rsid w:val="00DD7085"/>
    <w:rsid w:val="00DE0401"/>
    <w:rsid w:val="00DE0ACF"/>
    <w:rsid w:val="00DE379A"/>
    <w:rsid w:val="00DE3C43"/>
    <w:rsid w:val="00DF32EE"/>
    <w:rsid w:val="00DF4AE3"/>
    <w:rsid w:val="00DF6D37"/>
    <w:rsid w:val="00E078BD"/>
    <w:rsid w:val="00E10B81"/>
    <w:rsid w:val="00E117FC"/>
    <w:rsid w:val="00E11F18"/>
    <w:rsid w:val="00E14DB0"/>
    <w:rsid w:val="00E14E4D"/>
    <w:rsid w:val="00E14F67"/>
    <w:rsid w:val="00E17BF5"/>
    <w:rsid w:val="00E22590"/>
    <w:rsid w:val="00E22A7A"/>
    <w:rsid w:val="00E26E5F"/>
    <w:rsid w:val="00E30D6E"/>
    <w:rsid w:val="00E415F8"/>
    <w:rsid w:val="00E43C44"/>
    <w:rsid w:val="00E44B1A"/>
    <w:rsid w:val="00E51274"/>
    <w:rsid w:val="00E55368"/>
    <w:rsid w:val="00E57B6C"/>
    <w:rsid w:val="00E60355"/>
    <w:rsid w:val="00E616FC"/>
    <w:rsid w:val="00E6368D"/>
    <w:rsid w:val="00E64224"/>
    <w:rsid w:val="00E645B7"/>
    <w:rsid w:val="00E64D71"/>
    <w:rsid w:val="00E71EE2"/>
    <w:rsid w:val="00E74160"/>
    <w:rsid w:val="00E7605E"/>
    <w:rsid w:val="00E7672C"/>
    <w:rsid w:val="00E8322E"/>
    <w:rsid w:val="00E84814"/>
    <w:rsid w:val="00E8608C"/>
    <w:rsid w:val="00E90B97"/>
    <w:rsid w:val="00EA12FC"/>
    <w:rsid w:val="00EA54DC"/>
    <w:rsid w:val="00EB3E23"/>
    <w:rsid w:val="00EB42CA"/>
    <w:rsid w:val="00EB5486"/>
    <w:rsid w:val="00EC0958"/>
    <w:rsid w:val="00EC1F65"/>
    <w:rsid w:val="00EC3244"/>
    <w:rsid w:val="00EC3700"/>
    <w:rsid w:val="00EC52D6"/>
    <w:rsid w:val="00EC6030"/>
    <w:rsid w:val="00EC6FB0"/>
    <w:rsid w:val="00ED1AD3"/>
    <w:rsid w:val="00EE0237"/>
    <w:rsid w:val="00EE5BD9"/>
    <w:rsid w:val="00EF0EE0"/>
    <w:rsid w:val="00EF7822"/>
    <w:rsid w:val="00EF79E2"/>
    <w:rsid w:val="00F008FC"/>
    <w:rsid w:val="00F01BC5"/>
    <w:rsid w:val="00F0224B"/>
    <w:rsid w:val="00F026D6"/>
    <w:rsid w:val="00F065EA"/>
    <w:rsid w:val="00F07D70"/>
    <w:rsid w:val="00F1264D"/>
    <w:rsid w:val="00F13670"/>
    <w:rsid w:val="00F13837"/>
    <w:rsid w:val="00F169B9"/>
    <w:rsid w:val="00F22232"/>
    <w:rsid w:val="00F22C94"/>
    <w:rsid w:val="00F310CF"/>
    <w:rsid w:val="00F32484"/>
    <w:rsid w:val="00F35E4A"/>
    <w:rsid w:val="00F41DFC"/>
    <w:rsid w:val="00F41EB2"/>
    <w:rsid w:val="00F4374A"/>
    <w:rsid w:val="00F51027"/>
    <w:rsid w:val="00F515B3"/>
    <w:rsid w:val="00F531DC"/>
    <w:rsid w:val="00F5356D"/>
    <w:rsid w:val="00F54212"/>
    <w:rsid w:val="00F54629"/>
    <w:rsid w:val="00F55C2C"/>
    <w:rsid w:val="00F57E40"/>
    <w:rsid w:val="00F61D8B"/>
    <w:rsid w:val="00F61FDE"/>
    <w:rsid w:val="00F6275E"/>
    <w:rsid w:val="00F627B2"/>
    <w:rsid w:val="00F65667"/>
    <w:rsid w:val="00F66CB6"/>
    <w:rsid w:val="00F719F7"/>
    <w:rsid w:val="00F73D86"/>
    <w:rsid w:val="00F8484F"/>
    <w:rsid w:val="00F85C48"/>
    <w:rsid w:val="00F910A7"/>
    <w:rsid w:val="00F932FF"/>
    <w:rsid w:val="00F9534B"/>
    <w:rsid w:val="00F9688B"/>
    <w:rsid w:val="00FA31D8"/>
    <w:rsid w:val="00FA5A46"/>
    <w:rsid w:val="00FA6584"/>
    <w:rsid w:val="00FA6A5F"/>
    <w:rsid w:val="00FB6670"/>
    <w:rsid w:val="00FC1E81"/>
    <w:rsid w:val="00FC4F5B"/>
    <w:rsid w:val="00FC5585"/>
    <w:rsid w:val="00FC7FD1"/>
    <w:rsid w:val="00FD0388"/>
    <w:rsid w:val="00FD2758"/>
    <w:rsid w:val="00FD3651"/>
    <w:rsid w:val="00FD5B1F"/>
    <w:rsid w:val="00FD7CA2"/>
    <w:rsid w:val="00FE3F7D"/>
    <w:rsid w:val="00FE48EE"/>
    <w:rsid w:val="00FE4C62"/>
    <w:rsid w:val="00FE4C99"/>
    <w:rsid w:val="00FE7FD7"/>
    <w:rsid w:val="00FF0CC0"/>
    <w:rsid w:val="00FF165B"/>
    <w:rsid w:val="00FF4B4E"/>
    <w:rsid w:val="00FF66E9"/>
    <w:rsid w:val="016519C1"/>
    <w:rsid w:val="01B841E6"/>
    <w:rsid w:val="01E740A4"/>
    <w:rsid w:val="03487A09"/>
    <w:rsid w:val="036A42C0"/>
    <w:rsid w:val="037B3C23"/>
    <w:rsid w:val="03B55F2E"/>
    <w:rsid w:val="03CE6E1E"/>
    <w:rsid w:val="03E05C76"/>
    <w:rsid w:val="0447630C"/>
    <w:rsid w:val="04C052AB"/>
    <w:rsid w:val="04E11CA6"/>
    <w:rsid w:val="04E3714F"/>
    <w:rsid w:val="05151871"/>
    <w:rsid w:val="051915AA"/>
    <w:rsid w:val="05512E44"/>
    <w:rsid w:val="059D3E1F"/>
    <w:rsid w:val="05A05B06"/>
    <w:rsid w:val="05A54DF3"/>
    <w:rsid w:val="05E63476"/>
    <w:rsid w:val="064A0FDB"/>
    <w:rsid w:val="0694351E"/>
    <w:rsid w:val="06A3042E"/>
    <w:rsid w:val="06AB524F"/>
    <w:rsid w:val="06C929F2"/>
    <w:rsid w:val="06E23AB3"/>
    <w:rsid w:val="07481863"/>
    <w:rsid w:val="076A4D7C"/>
    <w:rsid w:val="07ED5202"/>
    <w:rsid w:val="080D690E"/>
    <w:rsid w:val="08F901AB"/>
    <w:rsid w:val="09D838EB"/>
    <w:rsid w:val="0A532E1C"/>
    <w:rsid w:val="0A670558"/>
    <w:rsid w:val="0A7B6655"/>
    <w:rsid w:val="0AA60D8C"/>
    <w:rsid w:val="0B276A4B"/>
    <w:rsid w:val="0B625E8E"/>
    <w:rsid w:val="0B8E21D5"/>
    <w:rsid w:val="0C13055B"/>
    <w:rsid w:val="0C4A4514"/>
    <w:rsid w:val="0C692206"/>
    <w:rsid w:val="0C965F77"/>
    <w:rsid w:val="0CA3074E"/>
    <w:rsid w:val="0CA85443"/>
    <w:rsid w:val="0CB11F5E"/>
    <w:rsid w:val="0D133FBF"/>
    <w:rsid w:val="0D456EF8"/>
    <w:rsid w:val="0D9370C2"/>
    <w:rsid w:val="0D98515C"/>
    <w:rsid w:val="0DFF1BD3"/>
    <w:rsid w:val="0E166F0C"/>
    <w:rsid w:val="0E380B0B"/>
    <w:rsid w:val="0E5B6625"/>
    <w:rsid w:val="0E9C10D7"/>
    <w:rsid w:val="0EF83371"/>
    <w:rsid w:val="0F972A65"/>
    <w:rsid w:val="0FE20680"/>
    <w:rsid w:val="0FE77F56"/>
    <w:rsid w:val="10C5247C"/>
    <w:rsid w:val="111B4E1A"/>
    <w:rsid w:val="119C01A7"/>
    <w:rsid w:val="11BF336F"/>
    <w:rsid w:val="11D9715E"/>
    <w:rsid w:val="11E15B93"/>
    <w:rsid w:val="1226519C"/>
    <w:rsid w:val="12746E33"/>
    <w:rsid w:val="128A4DA6"/>
    <w:rsid w:val="12D13AA6"/>
    <w:rsid w:val="12E05069"/>
    <w:rsid w:val="13074AF0"/>
    <w:rsid w:val="132444C7"/>
    <w:rsid w:val="13A3486A"/>
    <w:rsid w:val="13E54D49"/>
    <w:rsid w:val="13FC61B5"/>
    <w:rsid w:val="14131C7C"/>
    <w:rsid w:val="142613A9"/>
    <w:rsid w:val="143F3BE7"/>
    <w:rsid w:val="146C3A9E"/>
    <w:rsid w:val="14A072CA"/>
    <w:rsid w:val="14C45041"/>
    <w:rsid w:val="163F4A7E"/>
    <w:rsid w:val="16812D4B"/>
    <w:rsid w:val="1694519F"/>
    <w:rsid w:val="169B6156"/>
    <w:rsid w:val="17780ECB"/>
    <w:rsid w:val="1848416F"/>
    <w:rsid w:val="185A0595"/>
    <w:rsid w:val="185D5298"/>
    <w:rsid w:val="18860743"/>
    <w:rsid w:val="18B74E63"/>
    <w:rsid w:val="18EF5818"/>
    <w:rsid w:val="194B373A"/>
    <w:rsid w:val="194F322A"/>
    <w:rsid w:val="19C648A0"/>
    <w:rsid w:val="19DF7070"/>
    <w:rsid w:val="19F7640A"/>
    <w:rsid w:val="1A0A489E"/>
    <w:rsid w:val="1A3B64D4"/>
    <w:rsid w:val="1A3C562C"/>
    <w:rsid w:val="1A6D77CE"/>
    <w:rsid w:val="1ADD5418"/>
    <w:rsid w:val="1ADF676A"/>
    <w:rsid w:val="1AE1695F"/>
    <w:rsid w:val="1B0F4108"/>
    <w:rsid w:val="1B78524F"/>
    <w:rsid w:val="1B950E1F"/>
    <w:rsid w:val="1BC11A92"/>
    <w:rsid w:val="1C366455"/>
    <w:rsid w:val="1C646FED"/>
    <w:rsid w:val="1C746B04"/>
    <w:rsid w:val="1CA63468"/>
    <w:rsid w:val="1CB7706E"/>
    <w:rsid w:val="1DA1141F"/>
    <w:rsid w:val="1DCB4429"/>
    <w:rsid w:val="1E5E04EF"/>
    <w:rsid w:val="1E8F21B9"/>
    <w:rsid w:val="1E8F6FB5"/>
    <w:rsid w:val="1EA81514"/>
    <w:rsid w:val="1F6B53B9"/>
    <w:rsid w:val="1FF466F6"/>
    <w:rsid w:val="2059673D"/>
    <w:rsid w:val="206B5391"/>
    <w:rsid w:val="206F3D96"/>
    <w:rsid w:val="20817323"/>
    <w:rsid w:val="209F5361"/>
    <w:rsid w:val="20F871F2"/>
    <w:rsid w:val="210D2556"/>
    <w:rsid w:val="21CE6CB6"/>
    <w:rsid w:val="228A52D3"/>
    <w:rsid w:val="229C67EB"/>
    <w:rsid w:val="22D24EB3"/>
    <w:rsid w:val="233B291E"/>
    <w:rsid w:val="234A08E8"/>
    <w:rsid w:val="23852C7E"/>
    <w:rsid w:val="244C1C32"/>
    <w:rsid w:val="24681644"/>
    <w:rsid w:val="247710DC"/>
    <w:rsid w:val="24D32F62"/>
    <w:rsid w:val="25562854"/>
    <w:rsid w:val="256A5AD1"/>
    <w:rsid w:val="25870C3F"/>
    <w:rsid w:val="25A47BC0"/>
    <w:rsid w:val="25BE1C70"/>
    <w:rsid w:val="25C10ACD"/>
    <w:rsid w:val="25DD571A"/>
    <w:rsid w:val="261945E6"/>
    <w:rsid w:val="2638467A"/>
    <w:rsid w:val="264660F1"/>
    <w:rsid w:val="266B7717"/>
    <w:rsid w:val="26F55B81"/>
    <w:rsid w:val="26FA337A"/>
    <w:rsid w:val="270C3078"/>
    <w:rsid w:val="2754215E"/>
    <w:rsid w:val="27B021B3"/>
    <w:rsid w:val="27C941A8"/>
    <w:rsid w:val="28081985"/>
    <w:rsid w:val="2814592E"/>
    <w:rsid w:val="28215D92"/>
    <w:rsid w:val="287700A8"/>
    <w:rsid w:val="28A50F6C"/>
    <w:rsid w:val="28D37E08"/>
    <w:rsid w:val="29492D93"/>
    <w:rsid w:val="295977AD"/>
    <w:rsid w:val="2962388F"/>
    <w:rsid w:val="29C36976"/>
    <w:rsid w:val="29FD45DD"/>
    <w:rsid w:val="2A05350B"/>
    <w:rsid w:val="2A56793D"/>
    <w:rsid w:val="2A712D94"/>
    <w:rsid w:val="2A966966"/>
    <w:rsid w:val="2B395AE8"/>
    <w:rsid w:val="2B7E5FD6"/>
    <w:rsid w:val="2CF241A1"/>
    <w:rsid w:val="2D1F109F"/>
    <w:rsid w:val="2D7E77E3"/>
    <w:rsid w:val="2DC6056F"/>
    <w:rsid w:val="2F0A32CE"/>
    <w:rsid w:val="2F383CE8"/>
    <w:rsid w:val="2F773FD7"/>
    <w:rsid w:val="2F8402BF"/>
    <w:rsid w:val="2FF16992"/>
    <w:rsid w:val="30AD2B69"/>
    <w:rsid w:val="30D46B9A"/>
    <w:rsid w:val="30E23BA0"/>
    <w:rsid w:val="30ED173E"/>
    <w:rsid w:val="31BB7257"/>
    <w:rsid w:val="31FC0778"/>
    <w:rsid w:val="326A2A2B"/>
    <w:rsid w:val="327A0FAE"/>
    <w:rsid w:val="3281018F"/>
    <w:rsid w:val="32C43EEA"/>
    <w:rsid w:val="32FD564D"/>
    <w:rsid w:val="32FF3736"/>
    <w:rsid w:val="33183D7E"/>
    <w:rsid w:val="336C356C"/>
    <w:rsid w:val="33726084"/>
    <w:rsid w:val="338F6DAA"/>
    <w:rsid w:val="339C412A"/>
    <w:rsid w:val="33CC5185"/>
    <w:rsid w:val="34A25B7B"/>
    <w:rsid w:val="35213875"/>
    <w:rsid w:val="354E03E2"/>
    <w:rsid w:val="35A0514D"/>
    <w:rsid w:val="35F03BE2"/>
    <w:rsid w:val="366020C4"/>
    <w:rsid w:val="366A25E8"/>
    <w:rsid w:val="37024FE0"/>
    <w:rsid w:val="376A3AD4"/>
    <w:rsid w:val="378C4B81"/>
    <w:rsid w:val="379B715E"/>
    <w:rsid w:val="380E0F8F"/>
    <w:rsid w:val="389B4EB4"/>
    <w:rsid w:val="38AC78FA"/>
    <w:rsid w:val="39433ACB"/>
    <w:rsid w:val="3968257B"/>
    <w:rsid w:val="398839F8"/>
    <w:rsid w:val="399A3BF6"/>
    <w:rsid w:val="39D96C7F"/>
    <w:rsid w:val="3A5E10E9"/>
    <w:rsid w:val="3AA07372"/>
    <w:rsid w:val="3B38059C"/>
    <w:rsid w:val="3BE1087F"/>
    <w:rsid w:val="3C88242C"/>
    <w:rsid w:val="3C8D5785"/>
    <w:rsid w:val="3C9F6B20"/>
    <w:rsid w:val="3D7036C0"/>
    <w:rsid w:val="3D8E71C2"/>
    <w:rsid w:val="3DD74DAB"/>
    <w:rsid w:val="3E2A609F"/>
    <w:rsid w:val="3E4570B1"/>
    <w:rsid w:val="3E747DC5"/>
    <w:rsid w:val="3E9D060C"/>
    <w:rsid w:val="3F5109C0"/>
    <w:rsid w:val="3F52052C"/>
    <w:rsid w:val="3F6953E1"/>
    <w:rsid w:val="3FB04531"/>
    <w:rsid w:val="3FC82794"/>
    <w:rsid w:val="3FCD7432"/>
    <w:rsid w:val="40502506"/>
    <w:rsid w:val="406940F1"/>
    <w:rsid w:val="40DA18B2"/>
    <w:rsid w:val="41195379"/>
    <w:rsid w:val="4154211B"/>
    <w:rsid w:val="4182744A"/>
    <w:rsid w:val="424A6D70"/>
    <w:rsid w:val="42552DB0"/>
    <w:rsid w:val="425B1801"/>
    <w:rsid w:val="427E155D"/>
    <w:rsid w:val="42EB655E"/>
    <w:rsid w:val="43741985"/>
    <w:rsid w:val="43AA5386"/>
    <w:rsid w:val="4428686E"/>
    <w:rsid w:val="44941C31"/>
    <w:rsid w:val="44AE054C"/>
    <w:rsid w:val="44BF743E"/>
    <w:rsid w:val="45546A34"/>
    <w:rsid w:val="456B3443"/>
    <w:rsid w:val="45EA0010"/>
    <w:rsid w:val="46014545"/>
    <w:rsid w:val="47753672"/>
    <w:rsid w:val="485719B7"/>
    <w:rsid w:val="488643E5"/>
    <w:rsid w:val="48AE0448"/>
    <w:rsid w:val="48D1629F"/>
    <w:rsid w:val="48D81AC9"/>
    <w:rsid w:val="494F67AB"/>
    <w:rsid w:val="49547996"/>
    <w:rsid w:val="499C7952"/>
    <w:rsid w:val="49B04D70"/>
    <w:rsid w:val="49B9283F"/>
    <w:rsid w:val="4A5D2FA1"/>
    <w:rsid w:val="4A6F2535"/>
    <w:rsid w:val="4A8F0E29"/>
    <w:rsid w:val="4AC7490B"/>
    <w:rsid w:val="4B38703E"/>
    <w:rsid w:val="4B4F7E90"/>
    <w:rsid w:val="4B9C4A02"/>
    <w:rsid w:val="4B9F0C8D"/>
    <w:rsid w:val="4BC60DBE"/>
    <w:rsid w:val="4C777C87"/>
    <w:rsid w:val="4CB42DC9"/>
    <w:rsid w:val="4CE37251"/>
    <w:rsid w:val="4D447CA9"/>
    <w:rsid w:val="4D966528"/>
    <w:rsid w:val="4DBD5120"/>
    <w:rsid w:val="4DF4589F"/>
    <w:rsid w:val="4DFE5A66"/>
    <w:rsid w:val="4E7C16C5"/>
    <w:rsid w:val="4EA84E93"/>
    <w:rsid w:val="4F2627C8"/>
    <w:rsid w:val="4F793231"/>
    <w:rsid w:val="4F7D6B92"/>
    <w:rsid w:val="4FA446CE"/>
    <w:rsid w:val="4FB56C3C"/>
    <w:rsid w:val="4FC67254"/>
    <w:rsid w:val="4FD54B94"/>
    <w:rsid w:val="4FDD785C"/>
    <w:rsid w:val="50307EE9"/>
    <w:rsid w:val="5058500E"/>
    <w:rsid w:val="507E7976"/>
    <w:rsid w:val="509925AF"/>
    <w:rsid w:val="50CD6207"/>
    <w:rsid w:val="51752B27"/>
    <w:rsid w:val="52491925"/>
    <w:rsid w:val="526E3171"/>
    <w:rsid w:val="529D17DA"/>
    <w:rsid w:val="5330044E"/>
    <w:rsid w:val="537B59AE"/>
    <w:rsid w:val="53D3558E"/>
    <w:rsid w:val="54BA7570"/>
    <w:rsid w:val="54C46300"/>
    <w:rsid w:val="54EB3100"/>
    <w:rsid w:val="55346855"/>
    <w:rsid w:val="55653537"/>
    <w:rsid w:val="559161B4"/>
    <w:rsid w:val="564932BA"/>
    <w:rsid w:val="564F6097"/>
    <w:rsid w:val="5697402F"/>
    <w:rsid w:val="56D53BCD"/>
    <w:rsid w:val="56F72230"/>
    <w:rsid w:val="577543BD"/>
    <w:rsid w:val="57ED2CAC"/>
    <w:rsid w:val="58720931"/>
    <w:rsid w:val="58BB0CCB"/>
    <w:rsid w:val="58C56E0C"/>
    <w:rsid w:val="58C86344"/>
    <w:rsid w:val="591C5F7E"/>
    <w:rsid w:val="593D7890"/>
    <w:rsid w:val="5AAE3CD5"/>
    <w:rsid w:val="5AD320D7"/>
    <w:rsid w:val="5B28699F"/>
    <w:rsid w:val="5B2B1505"/>
    <w:rsid w:val="5B370E4D"/>
    <w:rsid w:val="5BB57082"/>
    <w:rsid w:val="5CEA6A1E"/>
    <w:rsid w:val="5D640E31"/>
    <w:rsid w:val="5EBB3B43"/>
    <w:rsid w:val="5ECC3FA2"/>
    <w:rsid w:val="5F363EFC"/>
    <w:rsid w:val="5FA01921"/>
    <w:rsid w:val="5FD053D7"/>
    <w:rsid w:val="600A4D82"/>
    <w:rsid w:val="60434569"/>
    <w:rsid w:val="60E817E3"/>
    <w:rsid w:val="61070932"/>
    <w:rsid w:val="610928BC"/>
    <w:rsid w:val="615F4BC1"/>
    <w:rsid w:val="61B43A0E"/>
    <w:rsid w:val="61DE6017"/>
    <w:rsid w:val="625633ED"/>
    <w:rsid w:val="62643805"/>
    <w:rsid w:val="6269322E"/>
    <w:rsid w:val="62BB2DA3"/>
    <w:rsid w:val="62D3550A"/>
    <w:rsid w:val="63716828"/>
    <w:rsid w:val="637E01CA"/>
    <w:rsid w:val="63C34B38"/>
    <w:rsid w:val="64A4669A"/>
    <w:rsid w:val="64D94D23"/>
    <w:rsid w:val="65055F30"/>
    <w:rsid w:val="653E38E4"/>
    <w:rsid w:val="658A12C7"/>
    <w:rsid w:val="65C04487"/>
    <w:rsid w:val="65DE1513"/>
    <w:rsid w:val="660F46EE"/>
    <w:rsid w:val="66551A20"/>
    <w:rsid w:val="66B07D06"/>
    <w:rsid w:val="66D81432"/>
    <w:rsid w:val="66E40F09"/>
    <w:rsid w:val="67420650"/>
    <w:rsid w:val="67DD099F"/>
    <w:rsid w:val="684538A4"/>
    <w:rsid w:val="6868654D"/>
    <w:rsid w:val="689C7E23"/>
    <w:rsid w:val="69036813"/>
    <w:rsid w:val="6949654E"/>
    <w:rsid w:val="694F7CAA"/>
    <w:rsid w:val="69845BA5"/>
    <w:rsid w:val="69C266CE"/>
    <w:rsid w:val="69CF647E"/>
    <w:rsid w:val="6A0649A7"/>
    <w:rsid w:val="6A6B28C1"/>
    <w:rsid w:val="6A6F3C3A"/>
    <w:rsid w:val="6AF04B38"/>
    <w:rsid w:val="6B1B6DF8"/>
    <w:rsid w:val="6B2E2A51"/>
    <w:rsid w:val="6B4162BD"/>
    <w:rsid w:val="6B50407B"/>
    <w:rsid w:val="6B735ED1"/>
    <w:rsid w:val="6C152EEA"/>
    <w:rsid w:val="6C932AC4"/>
    <w:rsid w:val="6CCA1734"/>
    <w:rsid w:val="6CCE1655"/>
    <w:rsid w:val="6E420D8D"/>
    <w:rsid w:val="6E6C72DA"/>
    <w:rsid w:val="6EEB0AC1"/>
    <w:rsid w:val="6EF07F14"/>
    <w:rsid w:val="6F305750"/>
    <w:rsid w:val="6FB47ABC"/>
    <w:rsid w:val="702059A6"/>
    <w:rsid w:val="70251764"/>
    <w:rsid w:val="704843D8"/>
    <w:rsid w:val="70B82074"/>
    <w:rsid w:val="70F36C56"/>
    <w:rsid w:val="7184435E"/>
    <w:rsid w:val="718810F0"/>
    <w:rsid w:val="71A37272"/>
    <w:rsid w:val="71F56D4C"/>
    <w:rsid w:val="71F868E9"/>
    <w:rsid w:val="72137890"/>
    <w:rsid w:val="72506CDC"/>
    <w:rsid w:val="732C2CB3"/>
    <w:rsid w:val="735D4490"/>
    <w:rsid w:val="73F97190"/>
    <w:rsid w:val="74566C6A"/>
    <w:rsid w:val="74641B38"/>
    <w:rsid w:val="747D4872"/>
    <w:rsid w:val="757D218C"/>
    <w:rsid w:val="75845088"/>
    <w:rsid w:val="75C855D7"/>
    <w:rsid w:val="75E0665E"/>
    <w:rsid w:val="7682557D"/>
    <w:rsid w:val="76FD6F97"/>
    <w:rsid w:val="770E3001"/>
    <w:rsid w:val="772E77D6"/>
    <w:rsid w:val="77351C2C"/>
    <w:rsid w:val="773C30A7"/>
    <w:rsid w:val="77482736"/>
    <w:rsid w:val="77754D7F"/>
    <w:rsid w:val="777F5BFE"/>
    <w:rsid w:val="778643E9"/>
    <w:rsid w:val="77B05DB7"/>
    <w:rsid w:val="77FF1C72"/>
    <w:rsid w:val="78752F81"/>
    <w:rsid w:val="78AF300A"/>
    <w:rsid w:val="78FD496B"/>
    <w:rsid w:val="7967106F"/>
    <w:rsid w:val="798C015E"/>
    <w:rsid w:val="79F05167"/>
    <w:rsid w:val="7A277702"/>
    <w:rsid w:val="7A596A6C"/>
    <w:rsid w:val="7A700169"/>
    <w:rsid w:val="7A8D6BE3"/>
    <w:rsid w:val="7A9E5E20"/>
    <w:rsid w:val="7AB60F52"/>
    <w:rsid w:val="7BB26D47"/>
    <w:rsid w:val="7BBD6CF5"/>
    <w:rsid w:val="7BE95D3C"/>
    <w:rsid w:val="7C285EFF"/>
    <w:rsid w:val="7C8A52BE"/>
    <w:rsid w:val="7C98679A"/>
    <w:rsid w:val="7CDE07EA"/>
    <w:rsid w:val="7D1E4E9B"/>
    <w:rsid w:val="7D383CF7"/>
    <w:rsid w:val="7DCF09A5"/>
    <w:rsid w:val="7DF22C19"/>
    <w:rsid w:val="7E0025F0"/>
    <w:rsid w:val="7E6022E3"/>
    <w:rsid w:val="7ED22E36"/>
    <w:rsid w:val="7EE23B89"/>
    <w:rsid w:val="7F051206"/>
    <w:rsid w:val="7F2C1041"/>
    <w:rsid w:val="7F326877"/>
    <w:rsid w:val="7F733E3D"/>
    <w:rsid w:val="7F7E2B49"/>
    <w:rsid w:val="7F8B52E9"/>
    <w:rsid w:val="7F98562A"/>
    <w:rsid w:val="7F990FFE"/>
    <w:rsid w:val="FBB3481A"/>
    <w:rsid w:val="FF9CFB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nhideWhenUsed="0" w:uiPriority="99" w:semiHidden="0"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99" w:semiHidden="0" w:name="toc 4"/>
    <w:lsdException w:unhideWhenUsed="0" w:uiPriority="99" w:semiHidden="0" w:name="toc 5"/>
    <w:lsdException w:qFormat="1" w:unhideWhenUsed="0" w:uiPriority="99" w:semiHidden="0" w:name="toc 6"/>
    <w:lsdException w:unhideWhenUsed="0" w:uiPriority="99" w:semiHidden="0" w:name="toc 7"/>
    <w:lsdException w:qFormat="1" w:unhideWhenUsed="0" w:uiPriority="99" w:semiHidden="0" w:name="toc 8"/>
    <w:lsdException w:unhideWhenUsed="0" w:uiPriority="99" w:semiHidden="0" w:name="toc 9"/>
    <w:lsdException w:qFormat="1" w:unhideWhenUsed="0" w:uiPriority="0"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nhideWhenUsed="0" w:uiPriority="99" w:semiHidden="0" w:name="Salutation"/>
    <w:lsdException w:qFormat="1" w:unhideWhenUsed="0" w:uiPriority="0" w:semiHidden="0" w:name="Date"/>
    <w:lsdException w:uiPriority="99" w:name="Body Text First Indent" w:locked="1"/>
    <w:lsdException w:qFormat="1" w:uiPriority="99" w:semiHidden="0" w:name="Body Text First Indent 2" w:locked="1"/>
    <w:lsdException w:uiPriority="99" w:name="Note Heading" w:locked="1"/>
    <w:lsdException w:unhideWhenUsed="0" w:uiPriority="99" w:semiHidden="0" w:name="Body Text 2"/>
    <w:lsdException w:unhideWhenUsed="0" w:uiPriority="99" w:semiHidden="0" w:name="Body Text 3"/>
    <w:lsdException w:qFormat="1" w:unhideWhenUsed="0" w:uiPriority="0" w:semiHidden="0" w:name="Body Text Indent 2"/>
    <w:lsdException w:qFormat="1" w:unhideWhenUsed="0" w:uiPriority="99" w:semiHidden="0" w:name="Body Text Indent 3"/>
    <w:lsdException w:unhideWhenUsed="0" w:uiPriority="99" w:semiHidden="0" w:name="Block Text"/>
    <w:lsdException w:qFormat="1" w:unhideWhenUsed="0" w:uiPriority="99" w:semiHidden="0" w:name="Hyperlink"/>
    <w:lsdException w:unhideWhenUsed="0" w:uiPriority="99" w:semiHidden="0" w:name="FollowedHyperlink"/>
    <w:lsdException w:qFormat="1" w:unhideWhenUsed="0" w:uiPriority="99" w:semiHidden="0" w:name="Strong"/>
    <w:lsdException w:qFormat="1" w:unhideWhenUsed="0" w:uiPriority="99" w:semiHidden="0" w:name="Emphasis"/>
    <w:lsdException w:unhideWhenUsed="0" w:uiPriority="99" w:name="Document Map"/>
    <w:lsdException w:qFormat="1" w:unhideWhenUsed="0" w:uiPriority="0" w:semiHidden="0" w:name="Plain Text"/>
    <w:lsdException w:uiPriority="99" w:name="E-mail Signature" w:locked="1"/>
    <w:lsdException w:qFormat="1" w:uiPriority="99" w:semiHidden="0" w:name="Normal (Web)"/>
    <w:lsdException w:uiPriority="99" w:name="HTML Acronym" w:locked="1"/>
    <w:lsdException w:uiPriority="99" w:name="HTML Address" w:locked="1"/>
    <w:lsdException w:unhideWhenUsed="0" w:uiPriority="99" w:semiHidden="0" w:name="HTML Cite"/>
    <w:lsdException w:unhideWhenUsed="0" w:uiPriority="99" w:semiHidden="0" w:name="HTML Code"/>
    <w:lsdException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uiPriority="99" w:name="HTML Typewriter" w:locked="1"/>
    <w:lsdException w:unhideWhenUsed="0" w:uiPriority="99" w:semiHidden="0" w:name="HTML Variable"/>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link w:val="41"/>
    <w:qFormat/>
    <w:uiPriority w:val="99"/>
    <w:pPr>
      <w:keepNext/>
      <w:jc w:val="center"/>
      <w:outlineLvl w:val="0"/>
    </w:pPr>
    <w:rPr>
      <w:b/>
      <w:sz w:val="24"/>
      <w:szCs w:val="20"/>
    </w:rPr>
  </w:style>
  <w:style w:type="paragraph" w:styleId="7">
    <w:name w:val="heading 2"/>
    <w:basedOn w:val="1"/>
    <w:next w:val="1"/>
    <w:link w:val="43"/>
    <w:qFormat/>
    <w:uiPriority w:val="99"/>
    <w:pPr>
      <w:keepNext/>
      <w:keepLines/>
      <w:spacing w:line="360" w:lineRule="auto"/>
      <w:outlineLvl w:val="1"/>
    </w:pPr>
    <w:rPr>
      <w:rFonts w:ascii="Arial" w:hAnsi="Arial"/>
      <w:b/>
      <w:sz w:val="32"/>
      <w:szCs w:val="20"/>
    </w:rPr>
  </w:style>
  <w:style w:type="paragraph" w:styleId="8">
    <w:name w:val="heading 3"/>
    <w:basedOn w:val="1"/>
    <w:next w:val="1"/>
    <w:link w:val="45"/>
    <w:qFormat/>
    <w:uiPriority w:val="99"/>
    <w:pPr>
      <w:keepNext/>
      <w:keepLines/>
      <w:spacing w:before="260" w:after="260" w:line="416" w:lineRule="auto"/>
      <w:outlineLvl w:val="2"/>
    </w:pPr>
    <w:rPr>
      <w:b/>
      <w:sz w:val="32"/>
      <w:szCs w:val="20"/>
    </w:rPr>
  </w:style>
  <w:style w:type="paragraph" w:styleId="9">
    <w:name w:val="heading 4"/>
    <w:basedOn w:val="1"/>
    <w:next w:val="1"/>
    <w:link w:val="39"/>
    <w:qFormat/>
    <w:uiPriority w:val="99"/>
    <w:pPr>
      <w:keepNext/>
      <w:keepLines/>
      <w:spacing w:before="280" w:after="290" w:line="376" w:lineRule="auto"/>
      <w:outlineLvl w:val="3"/>
    </w:pPr>
    <w:rPr>
      <w:rFonts w:ascii="Arial" w:hAnsi="Arial" w:eastAsia="黑体"/>
      <w:b/>
      <w:sz w:val="28"/>
      <w:szCs w:val="20"/>
    </w:rPr>
  </w:style>
  <w:style w:type="paragraph" w:styleId="10">
    <w:name w:val="heading 5"/>
    <w:basedOn w:val="1"/>
    <w:next w:val="1"/>
    <w:link w:val="47"/>
    <w:qFormat/>
    <w:uiPriority w:val="99"/>
    <w:pPr>
      <w:keepNext/>
      <w:keepLines/>
      <w:adjustRightInd w:val="0"/>
      <w:spacing w:before="280" w:after="290" w:line="376" w:lineRule="atLeast"/>
      <w:jc w:val="left"/>
      <w:textAlignment w:val="baseline"/>
      <w:outlineLvl w:val="4"/>
    </w:pPr>
    <w:rPr>
      <w:b/>
      <w:kern w:val="0"/>
      <w:sz w:val="28"/>
      <w:szCs w:val="20"/>
    </w:rPr>
  </w:style>
  <w:style w:type="paragraph" w:styleId="11">
    <w:name w:val="heading 6"/>
    <w:basedOn w:val="1"/>
    <w:next w:val="1"/>
    <w:link w:val="48"/>
    <w:qFormat/>
    <w:uiPriority w:val="99"/>
    <w:pPr>
      <w:keepNext/>
      <w:keepLines/>
      <w:adjustRightInd w:val="0"/>
      <w:spacing w:before="240" w:after="64" w:line="320" w:lineRule="atLeast"/>
      <w:jc w:val="left"/>
      <w:textAlignment w:val="baseline"/>
      <w:outlineLvl w:val="5"/>
    </w:pPr>
    <w:rPr>
      <w:rFonts w:ascii="Arial" w:hAnsi="Arial" w:eastAsia="黑体"/>
      <w:b/>
      <w:kern w:val="0"/>
      <w:sz w:val="24"/>
      <w:szCs w:val="20"/>
    </w:rPr>
  </w:style>
  <w:style w:type="paragraph" w:styleId="12">
    <w:name w:val="heading 7"/>
    <w:basedOn w:val="1"/>
    <w:next w:val="1"/>
    <w:link w:val="49"/>
    <w:qFormat/>
    <w:uiPriority w:val="99"/>
    <w:pPr>
      <w:keepNext/>
      <w:keepLines/>
      <w:adjustRightInd w:val="0"/>
      <w:spacing w:before="240" w:after="64" w:line="320" w:lineRule="atLeast"/>
      <w:jc w:val="left"/>
      <w:textAlignment w:val="baseline"/>
      <w:outlineLvl w:val="6"/>
    </w:pPr>
    <w:rPr>
      <w:b/>
      <w:kern w:val="0"/>
      <w:sz w:val="24"/>
      <w:szCs w:val="20"/>
    </w:rPr>
  </w:style>
  <w:style w:type="paragraph" w:styleId="13">
    <w:name w:val="heading 8"/>
    <w:basedOn w:val="1"/>
    <w:next w:val="1"/>
    <w:link w:val="50"/>
    <w:qFormat/>
    <w:uiPriority w:val="99"/>
    <w:pPr>
      <w:keepNext/>
      <w:keepLines/>
      <w:adjustRightInd w:val="0"/>
      <w:spacing w:before="240" w:after="64" w:line="320" w:lineRule="atLeast"/>
      <w:jc w:val="left"/>
      <w:textAlignment w:val="baseline"/>
      <w:outlineLvl w:val="7"/>
    </w:pPr>
    <w:rPr>
      <w:rFonts w:ascii="Arial" w:hAnsi="Arial" w:eastAsia="黑体"/>
      <w:kern w:val="0"/>
      <w:sz w:val="24"/>
      <w:szCs w:val="20"/>
    </w:rPr>
  </w:style>
  <w:style w:type="paragraph" w:styleId="14">
    <w:name w:val="heading 9"/>
    <w:basedOn w:val="1"/>
    <w:next w:val="1"/>
    <w:link w:val="46"/>
    <w:qFormat/>
    <w:uiPriority w:val="99"/>
    <w:pPr>
      <w:keepNext/>
      <w:keepLines/>
      <w:adjustRightInd w:val="0"/>
      <w:spacing w:before="240" w:after="64" w:line="320" w:lineRule="atLeast"/>
      <w:jc w:val="left"/>
      <w:textAlignment w:val="baseline"/>
      <w:outlineLvl w:val="8"/>
    </w:pPr>
    <w:rPr>
      <w:rFonts w:ascii="Arial" w:hAnsi="Arial" w:eastAsia="黑体"/>
      <w:kern w:val="0"/>
      <w:szCs w:val="20"/>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unhideWhenUsed/>
    <w:qFormat/>
    <w:locked/>
    <w:uiPriority w:val="99"/>
    <w:pPr>
      <w:autoSpaceDE w:val="0"/>
      <w:autoSpaceDN w:val="0"/>
      <w:adjustRightInd w:val="0"/>
      <w:jc w:val="left"/>
    </w:pPr>
    <w:rPr>
      <w:kern w:val="0"/>
    </w:rPr>
  </w:style>
  <w:style w:type="paragraph" w:styleId="3">
    <w:name w:val="Body Text"/>
    <w:basedOn w:val="1"/>
    <w:next w:val="4"/>
    <w:qFormat/>
    <w:uiPriority w:val="0"/>
    <w:pPr>
      <w:spacing w:after="120"/>
    </w:pPr>
  </w:style>
  <w:style w:type="paragraph" w:styleId="4">
    <w:name w:val="Body Text Indent 2"/>
    <w:basedOn w:val="1"/>
    <w:qFormat/>
    <w:uiPriority w:val="0"/>
    <w:pPr>
      <w:spacing w:after="120" w:line="480" w:lineRule="auto"/>
      <w:ind w:left="420" w:leftChars="200"/>
    </w:pPr>
    <w:rPr>
      <w:kern w:val="0"/>
      <w:sz w:val="20"/>
    </w:rPr>
  </w:style>
  <w:style w:type="paragraph" w:styleId="5">
    <w:name w:val="Normal Indent"/>
    <w:basedOn w:val="1"/>
    <w:qFormat/>
    <w:uiPriority w:val="0"/>
    <w:pPr>
      <w:widowControl/>
      <w:ind w:firstLine="420"/>
      <w:jc w:val="left"/>
    </w:pPr>
    <w:rPr>
      <w:kern w:val="0"/>
      <w:sz w:val="20"/>
      <w:szCs w:val="20"/>
    </w:rPr>
  </w:style>
  <w:style w:type="paragraph" w:styleId="15">
    <w:name w:val="annotation text"/>
    <w:basedOn w:val="1"/>
    <w:link w:val="38"/>
    <w:semiHidden/>
    <w:qFormat/>
    <w:uiPriority w:val="99"/>
    <w:pPr>
      <w:jc w:val="left"/>
    </w:pPr>
  </w:style>
  <w:style w:type="paragraph" w:styleId="16">
    <w:name w:val="Body Text Indent"/>
    <w:basedOn w:val="1"/>
    <w:next w:val="17"/>
    <w:qFormat/>
    <w:uiPriority w:val="0"/>
    <w:pPr>
      <w:spacing w:after="120"/>
      <w:ind w:left="420" w:leftChars="200"/>
    </w:pPr>
  </w:style>
  <w:style w:type="paragraph" w:styleId="17">
    <w:name w:val="annotation subject"/>
    <w:basedOn w:val="15"/>
    <w:next w:val="1"/>
    <w:link w:val="42"/>
    <w:qFormat/>
    <w:uiPriority w:val="99"/>
    <w:rPr>
      <w:b/>
      <w:bCs/>
    </w:rPr>
  </w:style>
  <w:style w:type="paragraph" w:styleId="18">
    <w:name w:val="toc 3"/>
    <w:basedOn w:val="1"/>
    <w:next w:val="1"/>
    <w:qFormat/>
    <w:uiPriority w:val="39"/>
    <w:pPr>
      <w:tabs>
        <w:tab w:val="right" w:leader="dot" w:pos="8302"/>
      </w:tabs>
      <w:jc w:val="left"/>
    </w:pPr>
    <w:rPr>
      <w:rFonts w:ascii="黑体" w:hAnsi="黑体"/>
      <w:b/>
      <w:bCs/>
      <w:smallCaps/>
      <w:sz w:val="28"/>
      <w:szCs w:val="28"/>
    </w:rPr>
  </w:style>
  <w:style w:type="paragraph" w:styleId="19">
    <w:name w:val="Plain Text"/>
    <w:basedOn w:val="1"/>
    <w:qFormat/>
    <w:uiPriority w:val="0"/>
    <w:rPr>
      <w:rFonts w:ascii="宋体" w:hAnsi="Courier New" w:cs="Courier New"/>
      <w:szCs w:val="21"/>
    </w:rPr>
  </w:style>
  <w:style w:type="paragraph" w:styleId="20">
    <w:name w:val="footer"/>
    <w:basedOn w:val="1"/>
    <w:link w:val="44"/>
    <w:qFormat/>
    <w:uiPriority w:val="99"/>
    <w:pPr>
      <w:tabs>
        <w:tab w:val="center" w:pos="4153"/>
        <w:tab w:val="right" w:pos="8306"/>
      </w:tabs>
      <w:snapToGrid w:val="0"/>
      <w:jc w:val="left"/>
    </w:pPr>
    <w:rPr>
      <w:sz w:val="18"/>
      <w:szCs w:val="18"/>
    </w:rPr>
  </w:style>
  <w:style w:type="paragraph" w:styleId="21">
    <w:name w:val="header"/>
    <w:basedOn w:val="1"/>
    <w:link w:val="40"/>
    <w:qFormat/>
    <w:uiPriority w:val="99"/>
    <w:pPr>
      <w:pBdr>
        <w:bottom w:val="single" w:color="auto" w:sz="6" w:space="1"/>
      </w:pBdr>
      <w:tabs>
        <w:tab w:val="center" w:pos="4153"/>
        <w:tab w:val="right" w:pos="8306"/>
      </w:tabs>
      <w:snapToGrid w:val="0"/>
      <w:jc w:val="center"/>
    </w:pPr>
    <w:rPr>
      <w:sz w:val="18"/>
      <w:szCs w:val="18"/>
    </w:rPr>
  </w:style>
  <w:style w:type="paragraph" w:styleId="22">
    <w:name w:val="Body Text Indent 3"/>
    <w:basedOn w:val="1"/>
    <w:link w:val="51"/>
    <w:qFormat/>
    <w:uiPriority w:val="99"/>
    <w:pPr>
      <w:spacing w:after="120"/>
      <w:ind w:left="420" w:leftChars="200"/>
    </w:pPr>
    <w:rPr>
      <w:sz w:val="16"/>
      <w:szCs w:val="16"/>
    </w:rPr>
  </w:style>
  <w:style w:type="paragraph" w:styleId="23">
    <w:name w:val="toc 2"/>
    <w:basedOn w:val="1"/>
    <w:next w:val="1"/>
    <w:qFormat/>
    <w:uiPriority w:val="39"/>
    <w:pPr>
      <w:ind w:left="420" w:leftChars="200"/>
    </w:pPr>
  </w:style>
  <w:style w:type="paragraph" w:styleId="24">
    <w:name w:val="Normal (Web)"/>
    <w:basedOn w:val="1"/>
    <w:unhideWhenUsed/>
    <w:qFormat/>
    <w:uiPriority w:val="99"/>
    <w:pPr>
      <w:widowControl/>
      <w:spacing w:beforeAutospacing="1" w:afterAutospacing="1"/>
      <w:jc w:val="left"/>
    </w:pPr>
    <w:rPr>
      <w:rFonts w:hint="eastAsia" w:ascii="宋体" w:hAnsi="宋体" w:eastAsia="宋体"/>
      <w:sz w:val="24"/>
      <w:szCs w:val="20"/>
    </w:rPr>
  </w:style>
  <w:style w:type="paragraph" w:styleId="25">
    <w:name w:val="Title"/>
    <w:basedOn w:val="1"/>
    <w:next w:val="1"/>
    <w:qFormat/>
    <w:uiPriority w:val="0"/>
    <w:pPr>
      <w:adjustRightInd w:val="0"/>
      <w:snapToGrid w:val="0"/>
      <w:spacing w:before="360" w:after="120" w:line="360" w:lineRule="auto"/>
      <w:ind w:firstLine="357"/>
      <w:jc w:val="center"/>
    </w:pPr>
    <w:rPr>
      <w:rFonts w:eastAsia="黑体" w:cs="Arial"/>
      <w:bCs/>
      <w:sz w:val="52"/>
      <w:szCs w:val="52"/>
    </w:rPr>
  </w:style>
  <w:style w:type="table" w:styleId="27">
    <w:name w:val="Table Grid"/>
    <w:basedOn w:val="2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Hyperlink"/>
    <w:qFormat/>
    <w:uiPriority w:val="99"/>
    <w:rPr>
      <w:color w:val="333333"/>
      <w:u w:val="none"/>
    </w:rPr>
  </w:style>
  <w:style w:type="character" w:styleId="30">
    <w:name w:val="annotation reference"/>
    <w:qFormat/>
    <w:uiPriority w:val="99"/>
    <w:rPr>
      <w:sz w:val="21"/>
      <w:szCs w:val="21"/>
    </w:rPr>
  </w:style>
  <w:style w:type="paragraph" w:customStyle="1" w:styleId="31">
    <w:name w:val="列出段落1"/>
    <w:basedOn w:val="32"/>
    <w:qFormat/>
    <w:uiPriority w:val="0"/>
    <w:pPr>
      <w:widowControl/>
      <w:ind w:firstLine="420"/>
    </w:pPr>
    <w:rPr>
      <w:rFonts w:ascii="Calibri" w:hAnsi="Calibri" w:cs="宋体"/>
      <w:kern w:val="0"/>
      <w:szCs w:val="21"/>
    </w:rPr>
  </w:style>
  <w:style w:type="paragraph" w:customStyle="1" w:styleId="32">
    <w:name w:val="正文_7"/>
    <w:next w:val="3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引文目录_6"/>
    <w:next w:val="32"/>
    <w:autoRedefine/>
    <w:unhideWhenUsed/>
    <w:qFormat/>
    <w:uiPriority w:val="99"/>
    <w:pPr>
      <w:widowControl w:val="0"/>
      <w:ind w:left="420" w:leftChars="200"/>
      <w:jc w:val="both"/>
    </w:pPr>
    <w:rPr>
      <w:rFonts w:ascii="Times New Roman" w:hAnsi="Times New Roman" w:eastAsia="宋体" w:cs="Times New Roman"/>
      <w:kern w:val="2"/>
      <w:sz w:val="21"/>
      <w:szCs w:val="24"/>
      <w:lang w:val="en-US" w:eastAsia="zh-CN" w:bidi="ar-SA"/>
    </w:rPr>
  </w:style>
  <w:style w:type="paragraph" w:customStyle="1" w:styleId="34">
    <w:name w:val="标题 7_0"/>
    <w:next w:val="35"/>
    <w:unhideWhenUsed/>
    <w:qFormat/>
    <w:uiPriority w:val="9"/>
    <w:pPr>
      <w:keepNext/>
      <w:keepLines/>
      <w:widowControl w:val="0"/>
      <w:adjustRightInd w:val="0"/>
      <w:spacing w:before="240" w:after="64" w:line="320" w:lineRule="atLeast"/>
      <w:textAlignment w:val="baseline"/>
      <w:outlineLvl w:val="6"/>
    </w:pPr>
    <w:rPr>
      <w:rFonts w:ascii="Times New Roman" w:hAnsi="Times New Roman" w:eastAsia="宋体" w:cs="Times New Roman"/>
      <w:b/>
      <w:bCs/>
      <w:sz w:val="24"/>
      <w:szCs w:val="24"/>
      <w:lang w:val="en-US" w:eastAsia="zh-CN" w:bidi="ar-SA"/>
    </w:rPr>
  </w:style>
  <w:style w:type="paragraph" w:customStyle="1" w:styleId="35">
    <w:name w:val="正文_37"/>
    <w:next w:val="3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标题 2_37"/>
    <w:next w:val="35"/>
    <w:unhideWhenUsed/>
    <w:qFormat/>
    <w:uiPriority w:val="9"/>
    <w:pPr>
      <w:keepNext/>
      <w:keepLines/>
      <w:widowControl w:val="0"/>
      <w:spacing w:line="360" w:lineRule="auto"/>
      <w:jc w:val="both"/>
      <w:outlineLvl w:val="1"/>
    </w:pPr>
    <w:rPr>
      <w:rFonts w:ascii="Arial" w:hAnsi="Arial" w:eastAsia="宋体" w:cs="Times New Roman"/>
      <w:b/>
      <w:bCs/>
      <w:kern w:val="2"/>
      <w:sz w:val="24"/>
      <w:szCs w:val="32"/>
      <w:lang w:val="en-US" w:eastAsia="zh-CN" w:bidi="ar-SA"/>
    </w:rPr>
  </w:style>
  <w:style w:type="paragraph" w:customStyle="1" w:styleId="37">
    <w:name w:val="样式 文字 + 首行缩进:  2 字符3"/>
    <w:basedOn w:val="1"/>
    <w:qFormat/>
    <w:uiPriority w:val="0"/>
    <w:pPr>
      <w:spacing w:line="360" w:lineRule="auto"/>
      <w:jc w:val="left"/>
    </w:pPr>
    <w:rPr>
      <w:sz w:val="28"/>
      <w:szCs w:val="28"/>
    </w:rPr>
  </w:style>
  <w:style w:type="character" w:customStyle="1" w:styleId="38">
    <w:name w:val="批注文字 字符"/>
    <w:link w:val="15"/>
    <w:semiHidden/>
    <w:qFormat/>
    <w:uiPriority w:val="99"/>
    <w:rPr>
      <w:kern w:val="2"/>
      <w:sz w:val="21"/>
      <w:szCs w:val="24"/>
    </w:rPr>
  </w:style>
  <w:style w:type="character" w:customStyle="1" w:styleId="39">
    <w:name w:val="标题 4 字符"/>
    <w:link w:val="9"/>
    <w:qFormat/>
    <w:locked/>
    <w:uiPriority w:val="99"/>
    <w:rPr>
      <w:rFonts w:ascii="Arial" w:hAnsi="Arial" w:eastAsia="黑体"/>
      <w:b/>
      <w:kern w:val="2"/>
      <w:sz w:val="28"/>
      <w:lang w:val="en-US" w:eastAsia="zh-CN"/>
    </w:rPr>
  </w:style>
  <w:style w:type="character" w:customStyle="1" w:styleId="40">
    <w:name w:val="页眉 字符"/>
    <w:link w:val="21"/>
    <w:qFormat/>
    <w:uiPriority w:val="99"/>
    <w:rPr>
      <w:kern w:val="2"/>
      <w:sz w:val="18"/>
      <w:szCs w:val="18"/>
    </w:rPr>
  </w:style>
  <w:style w:type="character" w:customStyle="1" w:styleId="41">
    <w:name w:val="标题 1 字符"/>
    <w:link w:val="6"/>
    <w:qFormat/>
    <w:locked/>
    <w:uiPriority w:val="99"/>
    <w:rPr>
      <w:rFonts w:eastAsia="宋体"/>
      <w:b/>
      <w:kern w:val="2"/>
      <w:sz w:val="24"/>
      <w:lang w:val="en-US" w:eastAsia="zh-CN"/>
    </w:rPr>
  </w:style>
  <w:style w:type="character" w:customStyle="1" w:styleId="42">
    <w:name w:val="批注主题 字符"/>
    <w:link w:val="17"/>
    <w:qFormat/>
    <w:uiPriority w:val="99"/>
    <w:rPr>
      <w:b/>
      <w:bCs/>
      <w:kern w:val="2"/>
      <w:sz w:val="21"/>
      <w:szCs w:val="24"/>
    </w:rPr>
  </w:style>
  <w:style w:type="character" w:customStyle="1" w:styleId="43">
    <w:name w:val="标题 2 字符"/>
    <w:link w:val="7"/>
    <w:qFormat/>
    <w:locked/>
    <w:uiPriority w:val="99"/>
    <w:rPr>
      <w:rFonts w:ascii="Arial" w:hAnsi="Arial" w:eastAsia="宋体"/>
      <w:b/>
      <w:kern w:val="2"/>
      <w:sz w:val="32"/>
      <w:lang w:val="en-US" w:eastAsia="zh-CN"/>
    </w:rPr>
  </w:style>
  <w:style w:type="character" w:customStyle="1" w:styleId="44">
    <w:name w:val="页脚 字符"/>
    <w:link w:val="20"/>
    <w:qFormat/>
    <w:uiPriority w:val="99"/>
    <w:rPr>
      <w:kern w:val="2"/>
      <w:sz w:val="18"/>
      <w:szCs w:val="18"/>
    </w:rPr>
  </w:style>
  <w:style w:type="character" w:customStyle="1" w:styleId="45">
    <w:name w:val="标题 3 字符"/>
    <w:link w:val="8"/>
    <w:qFormat/>
    <w:locked/>
    <w:uiPriority w:val="99"/>
    <w:rPr>
      <w:rFonts w:eastAsia="宋体"/>
      <w:b/>
      <w:kern w:val="2"/>
      <w:sz w:val="32"/>
      <w:lang w:val="en-US" w:eastAsia="zh-CN"/>
    </w:rPr>
  </w:style>
  <w:style w:type="character" w:customStyle="1" w:styleId="46">
    <w:name w:val="标题 9 字符"/>
    <w:link w:val="14"/>
    <w:qFormat/>
    <w:locked/>
    <w:uiPriority w:val="99"/>
    <w:rPr>
      <w:rFonts w:ascii="Arial" w:hAnsi="Arial" w:eastAsia="黑体"/>
      <w:sz w:val="21"/>
      <w:lang w:val="en-US" w:eastAsia="zh-CN"/>
    </w:rPr>
  </w:style>
  <w:style w:type="character" w:customStyle="1" w:styleId="47">
    <w:name w:val="标题 5 字符"/>
    <w:link w:val="10"/>
    <w:qFormat/>
    <w:locked/>
    <w:uiPriority w:val="99"/>
    <w:rPr>
      <w:rFonts w:eastAsia="宋体"/>
      <w:b/>
      <w:sz w:val="28"/>
      <w:lang w:val="en-US" w:eastAsia="zh-CN"/>
    </w:rPr>
  </w:style>
  <w:style w:type="character" w:customStyle="1" w:styleId="48">
    <w:name w:val="标题 6 字符"/>
    <w:link w:val="11"/>
    <w:qFormat/>
    <w:locked/>
    <w:uiPriority w:val="99"/>
    <w:rPr>
      <w:rFonts w:ascii="Arial" w:hAnsi="Arial" w:eastAsia="黑体"/>
      <w:b/>
      <w:sz w:val="24"/>
      <w:lang w:val="en-US" w:eastAsia="zh-CN"/>
    </w:rPr>
  </w:style>
  <w:style w:type="character" w:customStyle="1" w:styleId="49">
    <w:name w:val="标题 7 字符"/>
    <w:link w:val="12"/>
    <w:qFormat/>
    <w:locked/>
    <w:uiPriority w:val="99"/>
    <w:rPr>
      <w:rFonts w:eastAsia="宋体"/>
      <w:b/>
      <w:sz w:val="24"/>
      <w:lang w:val="en-US" w:eastAsia="zh-CN"/>
    </w:rPr>
  </w:style>
  <w:style w:type="character" w:customStyle="1" w:styleId="50">
    <w:name w:val="标题 8 字符"/>
    <w:link w:val="13"/>
    <w:qFormat/>
    <w:locked/>
    <w:uiPriority w:val="99"/>
    <w:rPr>
      <w:rFonts w:ascii="Arial" w:hAnsi="Arial" w:eastAsia="黑体"/>
      <w:sz w:val="24"/>
      <w:lang w:val="en-US" w:eastAsia="zh-CN"/>
    </w:rPr>
  </w:style>
  <w:style w:type="character" w:customStyle="1" w:styleId="51">
    <w:name w:val="正文文本缩进 3 字符"/>
    <w:link w:val="22"/>
    <w:qFormat/>
    <w:uiPriority w:val="99"/>
    <w:rPr>
      <w:kern w:val="2"/>
      <w:sz w:val="16"/>
      <w:szCs w:val="16"/>
    </w:rPr>
  </w:style>
  <w:style w:type="paragraph" w:customStyle="1" w:styleId="52">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53">
    <w:name w:val="TOC 标题1"/>
    <w:basedOn w:val="6"/>
    <w:next w:val="1"/>
    <w:unhideWhenUsed/>
    <w:qFormat/>
    <w:uiPriority w:val="39"/>
    <w:pPr>
      <w:widowControl/>
      <w:spacing w:before="240" w:line="259" w:lineRule="auto"/>
      <w:jc w:val="left"/>
      <w:outlineLvl w:val="9"/>
    </w:pPr>
    <w:rPr>
      <w:rFonts w:ascii="等线 Light" w:hAnsi="等线 Light" w:eastAsia="等线 Light"/>
      <w:b w:val="0"/>
      <w:color w:val="2F5496"/>
      <w:kern w:val="0"/>
      <w:sz w:val="32"/>
      <w:szCs w:val="32"/>
    </w:rPr>
  </w:style>
  <w:style w:type="paragraph" w:customStyle="1" w:styleId="54">
    <w:name w:val="Revision"/>
    <w:hidden/>
    <w:semiHidden/>
    <w:qFormat/>
    <w:uiPriority w:val="99"/>
    <w:rPr>
      <w:rFonts w:ascii="Times New Roman" w:hAnsi="Times New Roman" w:eastAsia="宋体" w:cs="Times New Roman"/>
      <w:kern w:val="2"/>
      <w:sz w:val="21"/>
      <w:szCs w:val="24"/>
      <w:lang w:val="en-US" w:eastAsia="zh-CN" w:bidi="ar-SA"/>
    </w:rPr>
  </w:style>
  <w:style w:type="paragraph" w:customStyle="1" w:styleId="55">
    <w:name w:val="p0"/>
    <w:basedOn w:val="1"/>
    <w:qFormat/>
    <w:uiPriority w:val="0"/>
    <w:rPr>
      <w:sz w:val="21"/>
      <w:szCs w:val="21"/>
    </w:rPr>
  </w:style>
  <w:style w:type="paragraph" w:customStyle="1" w:styleId="56">
    <w:name w:val="zhang"/>
    <w:basedOn w:val="1"/>
    <w:qFormat/>
    <w:uiPriority w:val="0"/>
    <w:pPr>
      <w:spacing w:before="100" w:beforeAutospacing="1" w:after="100" w:afterAutospacing="1"/>
    </w:pPr>
    <w:rPr>
      <w:b/>
      <w:bCs/>
      <w:smallCaps/>
      <w:color w:val="000000"/>
      <w:sz w:val="20"/>
      <w:szCs w:val="20"/>
    </w:rPr>
  </w:style>
  <w:style w:type="paragraph" w:customStyle="1" w:styleId="57">
    <w:name w:val="样式 小四 行距: 1.5 倍行距"/>
    <w:basedOn w:val="1"/>
    <w:qFormat/>
    <w:uiPriority w:val="0"/>
    <w:pPr>
      <w:ind w:firstLine="480"/>
    </w:pPr>
    <w:rPr>
      <w:szCs w:val="20"/>
    </w:rPr>
  </w:style>
  <w:style w:type="paragraph" w:customStyle="1" w:styleId="58">
    <w:name w:val="正文_13"/>
    <w:next w:val="5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
    <w:name w:val="正文文本_0"/>
    <w:basedOn w:val="58"/>
    <w:qFormat/>
    <w:uiPriority w:val="0"/>
    <w:pPr>
      <w:spacing w:after="120"/>
    </w:pPr>
    <w:rPr>
      <w:rFonts w:ascii="Times New Roman" w:hAnsi="Times New Roman"/>
      <w:kern w:val="0"/>
      <w:sz w:val="20"/>
      <w:szCs w:val="24"/>
    </w:rPr>
  </w:style>
  <w:style w:type="paragraph" w:customStyle="1" w:styleId="60">
    <w:name w:val="Normal_30"/>
    <w:next w:val="2"/>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99</Pages>
  <Words>10902</Words>
  <Characters>11541</Characters>
  <Lines>382</Lines>
  <Paragraphs>107</Paragraphs>
  <TotalTime>17</TotalTime>
  <ScaleCrop>false</ScaleCrop>
  <LinksUpToDate>false</LinksUpToDate>
  <CharactersWithSpaces>11797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2023-05-30T14:03:00Z</dcterms:created>
  <dc:creator>User</dc:creator>
  <cp:lastModifiedBy>Administrator</cp:lastModifiedBy>
  <cp:lastPrinted>2026-08-13T02:41:00Z</cp:lastPrinted>
  <dcterms:modified xsi:type="dcterms:W3CDTF">2026-08-18T05:53:56Z</dcterms:modified>
  <dc:title>政府采购</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E7583AF09CBE455FA8DFDC42A31ABB85_13</vt:lpwstr>
  </property>
  <property fmtid="{D5CDD505-2E9C-101B-9397-08002B2CF9AE}" pid="4" name="KSOTemplateDocerSaveRecord">
    <vt:lpwstr>eyJoZGlkIjoiNDY0ODgzMTYxZDc5YTczYWFjZGU1ZGQyMGU0NjBmYTUiLCJ1c2VySWQiOiIxMTU0MTA0MzY3In0=</vt:lpwstr>
  </property>
</Properties>
</file>